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6A" w:rsidRDefault="00F71A6A" w:rsidP="003F1D35">
      <w:pPr>
        <w:jc w:val="center"/>
      </w:pPr>
    </w:p>
    <w:p w:rsidR="0070652B" w:rsidRDefault="0070652B" w:rsidP="003F1D35">
      <w:pPr>
        <w:jc w:val="center"/>
      </w:pPr>
    </w:p>
    <w:p w:rsidR="0070652B" w:rsidRPr="00F00005" w:rsidRDefault="0070652B" w:rsidP="003F1D35">
      <w:pPr>
        <w:jc w:val="center"/>
      </w:pPr>
    </w:p>
    <w:p w:rsidR="00F71A6A" w:rsidRPr="00F00005" w:rsidRDefault="00F00005" w:rsidP="003F1D35">
      <w:pPr>
        <w:jc w:val="center"/>
      </w:pPr>
      <w:r w:rsidRPr="00F00005">
        <w:t>SECOND SECTION</w:t>
      </w:r>
    </w:p>
    <w:p w:rsidR="00F71A6A" w:rsidRDefault="00F71A6A" w:rsidP="003F1D35">
      <w:pPr>
        <w:jc w:val="center"/>
      </w:pPr>
    </w:p>
    <w:p w:rsidR="0070652B" w:rsidRDefault="0070652B" w:rsidP="003F1D35">
      <w:pPr>
        <w:jc w:val="center"/>
      </w:pPr>
    </w:p>
    <w:p w:rsidR="0070652B" w:rsidRDefault="0070652B" w:rsidP="003F1D35">
      <w:pPr>
        <w:jc w:val="center"/>
      </w:pPr>
    </w:p>
    <w:p w:rsidR="0070652B" w:rsidRDefault="0070652B" w:rsidP="003F1D35">
      <w:pPr>
        <w:jc w:val="center"/>
      </w:pPr>
    </w:p>
    <w:p w:rsidR="0070652B" w:rsidRDefault="0070652B" w:rsidP="003F1D35">
      <w:pPr>
        <w:jc w:val="center"/>
      </w:pPr>
    </w:p>
    <w:p w:rsidR="0070652B" w:rsidRPr="00F00005" w:rsidRDefault="0070652B" w:rsidP="003F1D35">
      <w:pPr>
        <w:jc w:val="center"/>
      </w:pPr>
    </w:p>
    <w:p w:rsidR="00F71A6A" w:rsidRPr="00F00005" w:rsidRDefault="00F71A6A" w:rsidP="003F1D35">
      <w:pPr>
        <w:jc w:val="center"/>
        <w:rPr>
          <w:b/>
        </w:rPr>
      </w:pPr>
      <w:bookmarkStart w:id="0" w:name="To"/>
      <w:r w:rsidRPr="00F00005">
        <w:rPr>
          <w:b/>
        </w:rPr>
        <w:t xml:space="preserve">CASE OF </w:t>
      </w:r>
      <w:bookmarkEnd w:id="0"/>
      <w:r w:rsidR="00F00005" w:rsidRPr="00F00005">
        <w:rPr>
          <w:b/>
        </w:rPr>
        <w:t>SÖYLER v. TURKEY</w:t>
      </w:r>
    </w:p>
    <w:p w:rsidR="00F71A6A" w:rsidRPr="00F00005" w:rsidRDefault="00F71A6A" w:rsidP="003F1D35">
      <w:pPr>
        <w:jc w:val="center"/>
      </w:pPr>
    </w:p>
    <w:p w:rsidR="00F71A6A" w:rsidRPr="00F00005" w:rsidRDefault="00F71A6A" w:rsidP="003F1D35">
      <w:pPr>
        <w:jc w:val="center"/>
        <w:rPr>
          <w:i/>
        </w:rPr>
      </w:pPr>
      <w:r w:rsidRPr="00F00005">
        <w:rPr>
          <w:i/>
        </w:rPr>
        <w:t>(</w:t>
      </w:r>
      <w:r w:rsidR="00F00005" w:rsidRPr="00F00005">
        <w:rPr>
          <w:i/>
        </w:rPr>
        <w:t>Application no. 29411/07</w:t>
      </w:r>
      <w:r w:rsidRPr="00F00005">
        <w:rPr>
          <w:i/>
        </w:rPr>
        <w:t>)</w:t>
      </w:r>
    </w:p>
    <w:p w:rsidR="00F71A6A" w:rsidRPr="00F00005" w:rsidRDefault="00F71A6A" w:rsidP="003F1D35">
      <w:pPr>
        <w:jc w:val="center"/>
      </w:pPr>
    </w:p>
    <w:p w:rsidR="00F71A6A" w:rsidRPr="00F00005" w:rsidRDefault="00F71A6A" w:rsidP="003F1D35">
      <w:pPr>
        <w:jc w:val="center"/>
      </w:pPr>
    </w:p>
    <w:p w:rsidR="00F71A6A" w:rsidRPr="00F00005" w:rsidRDefault="00F71A6A" w:rsidP="003F1D35">
      <w:pPr>
        <w:jc w:val="center"/>
      </w:pPr>
    </w:p>
    <w:p w:rsidR="00F71A6A" w:rsidRPr="00F00005" w:rsidRDefault="00F71A6A" w:rsidP="003F1D35">
      <w:pPr>
        <w:jc w:val="center"/>
      </w:pPr>
    </w:p>
    <w:p w:rsidR="00F71A6A" w:rsidRPr="00F00005" w:rsidRDefault="00F71A6A" w:rsidP="003F1D35">
      <w:pPr>
        <w:jc w:val="center"/>
      </w:pPr>
    </w:p>
    <w:p w:rsidR="00F71A6A" w:rsidRPr="00F00005" w:rsidRDefault="00F71A6A" w:rsidP="003F1D35">
      <w:pPr>
        <w:jc w:val="center"/>
      </w:pPr>
    </w:p>
    <w:p w:rsidR="00D73611" w:rsidRPr="003F1D35" w:rsidRDefault="0070652B" w:rsidP="003F1D35">
      <w:pPr>
        <w:jc w:val="center"/>
        <w:rPr>
          <w:b/>
          <w:szCs w:val="24"/>
        </w:rPr>
      </w:pPr>
      <w:r w:rsidRPr="003F1D35">
        <w:rPr>
          <w:b/>
          <w:szCs w:val="24"/>
        </w:rPr>
        <w:t>JUDGMENT</w:t>
      </w:r>
    </w:p>
    <w:p w:rsidR="00F71A6A" w:rsidRPr="00F00005" w:rsidRDefault="00F71A6A" w:rsidP="003F1D35">
      <w:pPr>
        <w:jc w:val="center"/>
        <w:rPr>
          <w:szCs w:val="24"/>
        </w:rPr>
      </w:pPr>
    </w:p>
    <w:p w:rsidR="00B921A8" w:rsidRPr="00F00005" w:rsidRDefault="00B921A8" w:rsidP="003F1D35">
      <w:pPr>
        <w:jc w:val="center"/>
      </w:pPr>
    </w:p>
    <w:p w:rsidR="0070652B" w:rsidRDefault="0070652B" w:rsidP="003F1D35">
      <w:pPr>
        <w:jc w:val="center"/>
        <w:rPr>
          <w:b/>
        </w:rPr>
      </w:pPr>
    </w:p>
    <w:p w:rsidR="0070652B" w:rsidRDefault="0070652B" w:rsidP="003F1D35">
      <w:pPr>
        <w:jc w:val="center"/>
        <w:rPr>
          <w:b/>
        </w:rPr>
      </w:pPr>
    </w:p>
    <w:p w:rsidR="0070652B" w:rsidRPr="003F1D35" w:rsidRDefault="0070652B" w:rsidP="003F1D35">
      <w:pPr>
        <w:jc w:val="center"/>
      </w:pPr>
      <w:r w:rsidRPr="003F1D35">
        <w:t>STRASBOURG</w:t>
      </w:r>
    </w:p>
    <w:p w:rsidR="0070652B" w:rsidRPr="003F1D35" w:rsidRDefault="0070652B" w:rsidP="003F1D35">
      <w:pPr>
        <w:jc w:val="center"/>
      </w:pPr>
    </w:p>
    <w:p w:rsidR="0070652B" w:rsidRPr="003F1D35" w:rsidRDefault="0070652B" w:rsidP="003F1D35">
      <w:pPr>
        <w:jc w:val="center"/>
      </w:pPr>
      <w:r w:rsidRPr="003F1D35">
        <w:t>17 September 2013</w:t>
      </w:r>
    </w:p>
    <w:p w:rsidR="0070652B" w:rsidRDefault="0070652B" w:rsidP="003F1D35">
      <w:pPr>
        <w:jc w:val="center"/>
        <w:rPr>
          <w:b/>
        </w:rPr>
      </w:pPr>
    </w:p>
    <w:p w:rsidR="008C038E" w:rsidRDefault="008C038E" w:rsidP="003F1D35">
      <w:pPr>
        <w:jc w:val="center"/>
      </w:pPr>
    </w:p>
    <w:p w:rsidR="008C038E" w:rsidRDefault="008C038E" w:rsidP="003F1D35">
      <w:pPr>
        <w:jc w:val="center"/>
      </w:pPr>
    </w:p>
    <w:p w:rsidR="008C038E" w:rsidRDefault="008C038E" w:rsidP="003F1D35">
      <w:pPr>
        <w:jc w:val="center"/>
      </w:pPr>
    </w:p>
    <w:p w:rsidR="008C038E" w:rsidRDefault="008C038E" w:rsidP="003F1D35">
      <w:pPr>
        <w:jc w:val="center"/>
      </w:pPr>
    </w:p>
    <w:p w:rsidR="008C038E" w:rsidRDefault="008C038E" w:rsidP="003F1D35">
      <w:pPr>
        <w:jc w:val="center"/>
      </w:pPr>
    </w:p>
    <w:p w:rsidR="008C038E" w:rsidRPr="008C038E" w:rsidRDefault="008C038E" w:rsidP="003F1D35">
      <w:pPr>
        <w:jc w:val="center"/>
      </w:pPr>
    </w:p>
    <w:p w:rsidR="0070652B" w:rsidRDefault="0070652B" w:rsidP="003F1D35">
      <w:pPr>
        <w:jc w:val="center"/>
        <w:rPr>
          <w:b/>
        </w:rPr>
      </w:pPr>
    </w:p>
    <w:p w:rsidR="0070652B" w:rsidRDefault="0070652B" w:rsidP="0070652B">
      <w:pPr>
        <w:pStyle w:val="JuCase"/>
        <w:ind w:firstLine="0"/>
        <w:rPr>
          <w:b w:val="0"/>
          <w:i/>
          <w:sz w:val="22"/>
        </w:rPr>
      </w:pPr>
      <w:r>
        <w:rPr>
          <w:b w:val="0"/>
          <w:i/>
          <w:sz w:val="22"/>
        </w:rPr>
        <w:t>This judgment will become final in the circumstances set out in Article 44 § 2 of the Convention. It may be subject to editorial revision.</w:t>
      </w:r>
    </w:p>
    <w:p w:rsidR="0070652B" w:rsidRPr="0070652B" w:rsidRDefault="0070652B" w:rsidP="0070652B">
      <w:pPr>
        <w:pStyle w:val="JuPara"/>
        <w:sectPr w:rsidR="0070652B" w:rsidRPr="0070652B" w:rsidSect="0070652B">
          <w:headerReference w:type="default" r:id="rId10"/>
          <w:headerReference w:type="first" r:id="rId11"/>
          <w:footerReference w:type="first" r:id="rId12"/>
          <w:footnotePr>
            <w:numRestart w:val="eachPage"/>
          </w:footnotePr>
          <w:pgSz w:w="11906" w:h="16838" w:code="9"/>
          <w:pgMar w:top="2274" w:right="2274" w:bottom="2274" w:left="2274" w:header="1701" w:footer="720" w:gutter="0"/>
          <w:pgNumType w:start="1"/>
          <w:cols w:space="720"/>
          <w:titlePg/>
          <w:docGrid w:linePitch="326"/>
        </w:sectPr>
      </w:pPr>
    </w:p>
    <w:p w:rsidR="00B030BE" w:rsidRPr="00F00005" w:rsidRDefault="00F71A6A" w:rsidP="00B030BE">
      <w:pPr>
        <w:pStyle w:val="JuCase"/>
        <w:rPr>
          <w:b w:val="0"/>
          <w:bCs/>
        </w:rPr>
      </w:pPr>
      <w:r w:rsidRPr="00F00005">
        <w:lastRenderedPageBreak/>
        <w:t>In the case of</w:t>
      </w:r>
      <w:r w:rsidR="00F00005" w:rsidRPr="00F00005">
        <w:t xml:space="preserve">Söyler v. </w:t>
      </w:r>
      <w:smartTag w:uri="urn:schemas-microsoft-com:office:smarttags" w:element="place">
        <w:smartTag w:uri="urn:schemas-microsoft-com:office:smarttags" w:element="country-region">
          <w:r w:rsidR="00F00005" w:rsidRPr="00F00005">
            <w:t>Turkey</w:t>
          </w:r>
        </w:smartTag>
      </w:smartTag>
      <w:r w:rsidR="00B030BE" w:rsidRPr="00F00005">
        <w:t>,</w:t>
      </w:r>
    </w:p>
    <w:p w:rsidR="00730433" w:rsidRDefault="00F71A6A" w:rsidP="003F1D35">
      <w:pPr>
        <w:pStyle w:val="JuPara"/>
      </w:pPr>
      <w:r w:rsidRPr="00F00005">
        <w:t>The European Court of Human Rights (</w:t>
      </w:r>
      <w:r w:rsidR="00F00005" w:rsidRPr="00F00005">
        <w:t>Second Section</w:t>
      </w:r>
      <w:r w:rsidRPr="00F00005">
        <w:t xml:space="preserve">), sitting as a </w:t>
      </w:r>
      <w:r w:rsidR="00F00005" w:rsidRPr="00F00005">
        <w:t>Chamber</w:t>
      </w:r>
      <w:r w:rsidR="00730433" w:rsidRPr="00F00005">
        <w:t xml:space="preserve"> composed of:</w:t>
      </w:r>
    </w:p>
    <w:p w:rsidR="0070652B" w:rsidRPr="0070652B" w:rsidRDefault="0070652B" w:rsidP="003F1D35">
      <w:pPr>
        <w:pStyle w:val="JuJudges"/>
      </w:pPr>
      <w:r w:rsidRPr="0070652B">
        <w:tab/>
        <w:t xml:space="preserve">Guido Raimondi, </w:t>
      </w:r>
      <w:r w:rsidRPr="0070652B">
        <w:rPr>
          <w:i/>
        </w:rPr>
        <w:t>President</w:t>
      </w:r>
      <w:r w:rsidRPr="0070652B">
        <w:t>,</w:t>
      </w:r>
      <w:r w:rsidRPr="0070652B">
        <w:br/>
      </w:r>
      <w:r w:rsidRPr="0070652B">
        <w:tab/>
        <w:t>Danutė Jočienė,</w:t>
      </w:r>
      <w:r w:rsidRPr="0070652B">
        <w:br/>
      </w:r>
      <w:r w:rsidRPr="0070652B">
        <w:tab/>
        <w:t>Peer Lorenzen,</w:t>
      </w:r>
      <w:r w:rsidRPr="0070652B">
        <w:br/>
      </w:r>
      <w:r w:rsidRPr="0070652B">
        <w:tab/>
        <w:t>András Sajó,</w:t>
      </w:r>
      <w:r w:rsidRPr="0070652B">
        <w:br/>
      </w:r>
      <w:r w:rsidRPr="0070652B">
        <w:tab/>
        <w:t>Işıl Karakaş,</w:t>
      </w:r>
      <w:r w:rsidRPr="0070652B">
        <w:br/>
      </w:r>
      <w:r w:rsidRPr="0070652B">
        <w:tab/>
        <w:t>Nebojša Vučinić,</w:t>
      </w:r>
      <w:r w:rsidRPr="0070652B">
        <w:br/>
      </w:r>
      <w:r w:rsidRPr="0070652B">
        <w:tab/>
        <w:t>Helen Keller,</w:t>
      </w:r>
      <w:r>
        <w:t xml:space="preserve"> judges,</w:t>
      </w:r>
    </w:p>
    <w:p w:rsidR="00F71A6A" w:rsidRPr="00F00005" w:rsidRDefault="00F71A6A" w:rsidP="003F1D35">
      <w:pPr>
        <w:pStyle w:val="JuJudges"/>
      </w:pPr>
      <w:r w:rsidRPr="00F00005">
        <w:t>and</w:t>
      </w:r>
      <w:r w:rsidR="00F00005" w:rsidRPr="00F00005">
        <w:t>Stanley Naismith</w:t>
      </w:r>
      <w:r w:rsidR="009D4B87" w:rsidRPr="003F1D35">
        <w:t xml:space="preserve">, </w:t>
      </w:r>
      <w:r w:rsidR="00F00005" w:rsidRPr="00F00005">
        <w:rPr>
          <w:i/>
        </w:rPr>
        <w:t xml:space="preserve">Section </w:t>
      </w:r>
      <w:r w:rsidR="00F00005" w:rsidRPr="00F00005">
        <w:rPr>
          <w:i/>
          <w:iCs/>
        </w:rPr>
        <w:t>Registrar</w:t>
      </w:r>
      <w:r w:rsidRPr="00F00005">
        <w:rPr>
          <w:i/>
        </w:rPr>
        <w:t>,</w:t>
      </w:r>
    </w:p>
    <w:p w:rsidR="00F71A6A" w:rsidRPr="00F00005" w:rsidRDefault="00F71A6A" w:rsidP="002F4BCF">
      <w:pPr>
        <w:pStyle w:val="JuPara"/>
      </w:pPr>
      <w:r w:rsidRPr="00F00005">
        <w:t xml:space="preserve">Having deliberated in private on </w:t>
      </w:r>
      <w:r w:rsidR="0070652B">
        <w:t>27 August 2013</w:t>
      </w:r>
      <w:r w:rsidRPr="00F00005">
        <w:t>,</w:t>
      </w:r>
    </w:p>
    <w:p w:rsidR="00F71A6A" w:rsidRPr="00F00005" w:rsidRDefault="00F71A6A" w:rsidP="002F4BCF">
      <w:pPr>
        <w:pStyle w:val="JuPara"/>
      </w:pPr>
      <w:r w:rsidRPr="00F00005">
        <w:t>Delivers the following judgment, which was adopted on that date:</w:t>
      </w:r>
    </w:p>
    <w:p w:rsidR="00F71A6A" w:rsidRPr="00F00005" w:rsidRDefault="00F71A6A" w:rsidP="008824B9">
      <w:pPr>
        <w:pStyle w:val="JuHHead"/>
      </w:pPr>
      <w:r w:rsidRPr="00F00005">
        <w:t>PROCEDURE</w:t>
      </w:r>
    </w:p>
    <w:p w:rsidR="00F00005" w:rsidRDefault="003708D5" w:rsidP="00893782">
      <w:pPr>
        <w:pStyle w:val="JuPara"/>
      </w:pPr>
      <w:r>
        <w:fldChar w:fldCharType="begin"/>
      </w:r>
      <w:r w:rsidR="00F662F8">
        <w:instrText xml:space="preserve"> SEQ level0 \*arabic </w:instrText>
      </w:r>
      <w:r>
        <w:fldChar w:fldCharType="separate"/>
      </w:r>
      <w:r w:rsidR="00414CD4">
        <w:rPr>
          <w:noProof/>
        </w:rPr>
        <w:t>1</w:t>
      </w:r>
      <w:r>
        <w:fldChar w:fldCharType="end"/>
      </w:r>
      <w:r w:rsidR="00F662F8">
        <w:t>.  </w:t>
      </w:r>
      <w:r w:rsidR="00F71A6A" w:rsidRPr="00F00005">
        <w:t xml:space="preserve">The case originated in </w:t>
      </w:r>
      <w:r w:rsidR="00F00005" w:rsidRPr="00F00005">
        <w:t>an application (no. 29411/07)</w:t>
      </w:r>
      <w:r w:rsidR="00F71A6A" w:rsidRPr="00F00005">
        <w:t xml:space="preserve"> against </w:t>
      </w:r>
      <w:r w:rsidR="00F00005" w:rsidRPr="00F00005">
        <w:t>the Republic of Turkey</w:t>
      </w:r>
      <w:r w:rsidR="00F71A6A" w:rsidRPr="00F00005">
        <w:t xml:space="preserve"> lodged with the </w:t>
      </w:r>
      <w:r w:rsidR="00F00005" w:rsidRPr="00F00005">
        <w:t>Court under Article 34</w:t>
      </w:r>
      <w:r w:rsidR="004920B1" w:rsidRPr="00F00005">
        <w:t xml:space="preserve"> of the Convention for the Protection of Human Rights and Fundamental Freedoms (“the Convention”)</w:t>
      </w:r>
      <w:r w:rsidR="00F71A6A" w:rsidRPr="00F00005">
        <w:t xml:space="preserve"> by </w:t>
      </w:r>
      <w:r w:rsidR="00F00005" w:rsidRPr="00F00005">
        <w:t xml:space="preserve">a Turkish national, </w:t>
      </w:r>
      <w:r w:rsidR="00944D61">
        <w:t>Mr</w:t>
      </w:r>
      <w:r w:rsidR="00F00005" w:rsidRPr="00F00005">
        <w:t xml:space="preserve"> Ahmet Atah</w:t>
      </w:r>
      <w:r w:rsidR="00944D61">
        <w:t>ü</w:t>
      </w:r>
      <w:r w:rsidR="00F00005" w:rsidRPr="00F00005">
        <w:t>r Söyler (“the applicant”), on 12 July 2007</w:t>
      </w:r>
      <w:r w:rsidR="00F71A6A" w:rsidRPr="00F00005">
        <w:t>.</w:t>
      </w:r>
    </w:p>
    <w:p w:rsidR="00F00005" w:rsidRPr="00F00005"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2</w:t>
      </w:r>
      <w:r w:rsidRPr="00F00005">
        <w:fldChar w:fldCharType="end"/>
      </w:r>
      <w:r w:rsidR="00F71A6A" w:rsidRPr="00F00005">
        <w:t>.  </w:t>
      </w:r>
      <w:r w:rsidR="00F00005" w:rsidRPr="00F00005">
        <w:t xml:space="preserve">The applicant, who had been granted legal aid, was represented by </w:t>
      </w:r>
      <w:r w:rsidR="00F00005" w:rsidRPr="00F662F8">
        <w:t>Mr</w:t>
      </w:r>
      <w:r w:rsidR="00F662F8">
        <w:t> </w:t>
      </w:r>
      <w:r w:rsidR="00F00005" w:rsidRPr="00F662F8">
        <w:t>S</w:t>
      </w:r>
      <w:r w:rsidR="00944D61" w:rsidRPr="00F662F8">
        <w:t>erkan</w:t>
      </w:r>
      <w:r w:rsidR="00F00005" w:rsidRPr="00F00005">
        <w:t xml:space="preserve"> Cengiz, a lawyer practising in </w:t>
      </w:r>
      <w:r w:rsidR="00944D61">
        <w:t>İ</w:t>
      </w:r>
      <w:r w:rsidR="00F00005" w:rsidRPr="00F00005">
        <w:t xml:space="preserve">zmir. </w:t>
      </w:r>
      <w:r w:rsidR="00F71A6A" w:rsidRPr="00F00005">
        <w:t xml:space="preserve">The </w:t>
      </w:r>
      <w:r w:rsidR="00F00005" w:rsidRPr="00F00005">
        <w:t>Turkish</w:t>
      </w:r>
      <w:r w:rsidR="00F71A6A" w:rsidRPr="00F00005">
        <w:t xml:space="preserve"> Government (“the Government”) were represented by their Agent.</w:t>
      </w:r>
    </w:p>
    <w:p w:rsidR="00F71A6A" w:rsidRPr="00F00005" w:rsidRDefault="003708D5" w:rsidP="00865450">
      <w:pPr>
        <w:pStyle w:val="JuPara"/>
      </w:pPr>
      <w:r w:rsidRPr="00F00005">
        <w:fldChar w:fldCharType="begin"/>
      </w:r>
      <w:r w:rsidR="00F00005" w:rsidRPr="00F00005">
        <w:instrText xml:space="preserve"> SEQ level0 \*arabic </w:instrText>
      </w:r>
      <w:r w:rsidRPr="00F00005">
        <w:fldChar w:fldCharType="separate"/>
      </w:r>
      <w:r w:rsidR="00414CD4">
        <w:rPr>
          <w:noProof/>
        </w:rPr>
        <w:t>3</w:t>
      </w:r>
      <w:r w:rsidRPr="00F00005">
        <w:fldChar w:fldCharType="end"/>
      </w:r>
      <w:r w:rsidR="00F00005" w:rsidRPr="00F00005">
        <w:t xml:space="preserve">.  The applicant alleged, in particular, </w:t>
      </w:r>
      <w:r w:rsidR="009F5CDE">
        <w:t xml:space="preserve">that </w:t>
      </w:r>
      <w:r w:rsidR="00944D61">
        <w:t>his inability</w:t>
      </w:r>
      <w:r w:rsidR="0070652B">
        <w:t xml:space="preserve"> to</w:t>
      </w:r>
      <w:r w:rsidR="009F5CDE">
        <w:t xml:space="preserve">vote in the general elections while he was serving a </w:t>
      </w:r>
      <w:r w:rsidR="00944D61">
        <w:t>prison</w:t>
      </w:r>
      <w:r w:rsidR="009F5CDE">
        <w:t xml:space="preserve"> sentence was in violatio</w:t>
      </w:r>
      <w:r w:rsidR="0066270D">
        <w:t>n of Article 3 of Protocol No.1 to the Convention (here</w:t>
      </w:r>
      <w:r w:rsidR="00F662F8">
        <w:t>in</w:t>
      </w:r>
      <w:r w:rsidR="0066270D">
        <w:t>after “Article 3 of Protocol No. 1”).</w:t>
      </w:r>
    </w:p>
    <w:p w:rsidR="007E603C" w:rsidRPr="00F00005" w:rsidRDefault="003708D5" w:rsidP="00865450">
      <w:pPr>
        <w:pStyle w:val="JuPara"/>
        <w:rPr>
          <w:szCs w:val="22"/>
        </w:rPr>
      </w:pPr>
      <w:r w:rsidRPr="00F00005">
        <w:fldChar w:fldCharType="begin"/>
      </w:r>
      <w:r w:rsidR="00F00005" w:rsidRPr="00F00005">
        <w:instrText xml:space="preserve"> SEQ level0 \*arabic </w:instrText>
      </w:r>
      <w:r w:rsidRPr="00F00005">
        <w:fldChar w:fldCharType="separate"/>
      </w:r>
      <w:r w:rsidR="00414CD4">
        <w:rPr>
          <w:noProof/>
        </w:rPr>
        <w:t>4</w:t>
      </w:r>
      <w:r w:rsidRPr="00F00005">
        <w:fldChar w:fldCharType="end"/>
      </w:r>
      <w:r w:rsidR="00F71A6A" w:rsidRPr="00F00005">
        <w:t xml:space="preserve">.  On </w:t>
      </w:r>
      <w:r w:rsidR="00F00005" w:rsidRPr="00F00005">
        <w:rPr>
          <w:szCs w:val="24"/>
        </w:rPr>
        <w:t>31 March 2010</w:t>
      </w:r>
      <w:r w:rsidR="0009409F" w:rsidRPr="00F00005">
        <w:t xml:space="preserve">the </w:t>
      </w:r>
      <w:r w:rsidR="00F00005" w:rsidRPr="00F00005">
        <w:t>application was</w:t>
      </w:r>
      <w:r w:rsidR="0009409F" w:rsidRPr="00F00005">
        <w:t xml:space="preserve"> communicated </w:t>
      </w:r>
      <w:r w:rsidR="00F71A6A" w:rsidRPr="00F00005">
        <w:t>to the Gove</w:t>
      </w:r>
      <w:r w:rsidR="00485A6F" w:rsidRPr="00F00005">
        <w:t>rnment.</w:t>
      </w:r>
      <w:r w:rsidR="00F00005" w:rsidRPr="00F00005">
        <w:t xml:space="preserve"> It was also decided to rule on the admissibility and merits of the application at the same time (Article 29 § 1).</w:t>
      </w:r>
    </w:p>
    <w:p w:rsidR="00F71A6A" w:rsidRPr="00F00005" w:rsidRDefault="00F71A6A" w:rsidP="008824B9">
      <w:pPr>
        <w:pStyle w:val="JuHHead"/>
      </w:pPr>
      <w:r w:rsidRPr="00F00005">
        <w:t>THE FACTS</w:t>
      </w:r>
    </w:p>
    <w:p w:rsidR="00D353F4" w:rsidRPr="00F00005" w:rsidRDefault="007352DD" w:rsidP="008824B9">
      <w:pPr>
        <w:pStyle w:val="JuHIRoman"/>
        <w:outlineLvl w:val="0"/>
      </w:pPr>
      <w:r w:rsidRPr="00F00005">
        <w:t xml:space="preserve">I.  THE CIRCUMSTANCES OF THE </w:t>
      </w:r>
      <w:r w:rsidR="00D353F4" w:rsidRPr="00F00005">
        <w:t>CASE</w:t>
      </w:r>
    </w:p>
    <w:p w:rsidR="00F71A6A" w:rsidRPr="00F00005"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5</w:t>
      </w:r>
      <w:r w:rsidRPr="00F00005">
        <w:fldChar w:fldCharType="end"/>
      </w:r>
      <w:r w:rsidR="00F71A6A" w:rsidRPr="00F00005">
        <w:t xml:space="preserve">.  The </w:t>
      </w:r>
      <w:r w:rsidR="00F00005" w:rsidRPr="00F00005">
        <w:t xml:space="preserve">applicant was born in </w:t>
      </w:r>
      <w:r w:rsidR="009F5CDE">
        <w:t>1966</w:t>
      </w:r>
      <w:r w:rsidR="00F00005" w:rsidRPr="00F00005">
        <w:t xml:space="preserve"> and lives</w:t>
      </w:r>
      <w:r w:rsidR="00F71A6A" w:rsidRPr="00F00005">
        <w:t xml:space="preserve"> in </w:t>
      </w:r>
      <w:r w:rsidR="001843A4">
        <w:t>İzmir</w:t>
      </w:r>
      <w:r w:rsidR="00F71A6A" w:rsidRPr="00F00005">
        <w:t>.</w:t>
      </w:r>
    </w:p>
    <w:p w:rsidR="003F1D35"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6</w:t>
      </w:r>
      <w:r w:rsidRPr="00F00005">
        <w:fldChar w:fldCharType="end"/>
      </w:r>
      <w:r w:rsidR="00F71A6A" w:rsidRPr="00F00005">
        <w:t>.  </w:t>
      </w:r>
      <w:r w:rsidR="00987B69">
        <w:t>The applicant</w:t>
      </w:r>
      <w:r w:rsidR="00965E16">
        <w:t xml:space="preserve">, a businessman, </w:t>
      </w:r>
      <w:r w:rsidR="00987B69">
        <w:t xml:space="preserve">was </w:t>
      </w:r>
      <w:r w:rsidR="00965E16">
        <w:t xml:space="preserve">convicted for having </w:t>
      </w:r>
      <w:r w:rsidR="00E30682">
        <w:t xml:space="preserve">drawn </w:t>
      </w:r>
      <w:r w:rsidR="00965E16">
        <w:t xml:space="preserve">a number of </w:t>
      </w:r>
      <w:r w:rsidR="00987B69">
        <w:t xml:space="preserve">cheques without </w:t>
      </w:r>
      <w:r w:rsidR="00965E16">
        <w:t xml:space="preserve">having </w:t>
      </w:r>
      <w:r w:rsidR="00987B69">
        <w:t xml:space="preserve">sufficient </w:t>
      </w:r>
      <w:r w:rsidR="00965E16">
        <w:t>funds in his bank account</w:t>
      </w:r>
      <w:r w:rsidR="00E30682">
        <w:t xml:space="preserve">, an offence </w:t>
      </w:r>
      <w:r w:rsidR="00145ECC">
        <w:t>defined in</w:t>
      </w:r>
      <w:r w:rsidR="00E30682">
        <w:t xml:space="preserve"> the now repealed Law No.</w:t>
      </w:r>
      <w:r w:rsidR="004F21A6">
        <w:t>3167 on Cheques</w:t>
      </w:r>
      <w:r w:rsidR="00134401">
        <w:t xml:space="preserve"> (see </w:t>
      </w:r>
      <w:r w:rsidR="00134401">
        <w:lastRenderedPageBreak/>
        <w:t>“Relevant Domestic Law and Pr</w:t>
      </w:r>
      <w:r w:rsidR="009A3884">
        <w:t>actice</w:t>
      </w:r>
      <w:r w:rsidR="00134401">
        <w:t>”)</w:t>
      </w:r>
      <w:r w:rsidR="00965E16">
        <w:t>. He was sentenced to a prison term of four years, eleven months and twenty-six days.</w:t>
      </w:r>
      <w:r w:rsidR="00FF22B3">
        <w:t xml:space="preserve"> He started serving his sentence on 11 April 2007.</w:t>
      </w:r>
    </w:p>
    <w:p w:rsidR="00D71323" w:rsidRPr="00BC4081" w:rsidRDefault="003708D5" w:rsidP="002F4BCF">
      <w:pPr>
        <w:pStyle w:val="JuPara"/>
        <w:rPr>
          <w:szCs w:val="24"/>
          <w:lang w:eastAsia="en-US"/>
        </w:rPr>
      </w:pPr>
      <w:r>
        <w:fldChar w:fldCharType="begin"/>
      </w:r>
      <w:r w:rsidR="00965E16">
        <w:instrText xml:space="preserve"> SEQ level0 \*arabic </w:instrText>
      </w:r>
      <w:r>
        <w:fldChar w:fldCharType="separate"/>
      </w:r>
      <w:r w:rsidR="00414CD4">
        <w:rPr>
          <w:noProof/>
        </w:rPr>
        <w:t>7</w:t>
      </w:r>
      <w:r>
        <w:fldChar w:fldCharType="end"/>
      </w:r>
      <w:r w:rsidR="00965E16">
        <w:t>.  </w:t>
      </w:r>
      <w:r w:rsidR="00A81AEE">
        <w:t>While he was serving his prison sentence in Buca Prison in İzmir</w:t>
      </w:r>
      <w:r w:rsidR="00F662F8">
        <w:t>,</w:t>
      </w:r>
      <w:r w:rsidR="00A81AEE">
        <w:t xml:space="preserve"> the applicant wrote to the High Council for Elections on 28 June 2007 and stated that</w:t>
      </w:r>
      <w:r w:rsidR="00AE2EFB">
        <w:t xml:space="preserve"> his name </w:t>
      </w:r>
      <w:r w:rsidR="00145ECC">
        <w:t xml:space="preserve">was </w:t>
      </w:r>
      <w:r w:rsidR="006C7612">
        <w:t>o</w:t>
      </w:r>
      <w:r w:rsidR="00AE2EFB">
        <w:t>n the</w:t>
      </w:r>
      <w:r w:rsidR="00145ECC">
        <w:t xml:space="preserve"> electoral roll</w:t>
      </w:r>
      <w:r w:rsidR="00AE2EFB">
        <w:t xml:space="preserve"> for theforthcoming general elections o</w:t>
      </w:r>
      <w:r w:rsidR="00AC7E5F">
        <w:t>f</w:t>
      </w:r>
      <w:r w:rsidR="00AE2EFB">
        <w:t xml:space="preserve"> 22 July 2007. He added that this was </w:t>
      </w:r>
      <w:r w:rsidR="00F0156C">
        <w:t xml:space="preserve">possibly due to an error </w:t>
      </w:r>
      <w:r w:rsidR="00AE2EFB">
        <w:t>on the part of the High Council for Elections which must have overlooked the fact that he</w:t>
      </w:r>
      <w:r w:rsidR="00880340">
        <w:t>,</w:t>
      </w:r>
      <w:r w:rsidR="00AE2EFB">
        <w:t xml:space="preserve"> as a convicted prisoner</w:t>
      </w:r>
      <w:r w:rsidR="00880340">
        <w:t>,</w:t>
      </w:r>
      <w:r w:rsidR="00145ECC">
        <w:t xml:space="preserve">was </w:t>
      </w:r>
      <w:r w:rsidR="004F21A6">
        <w:t>un</w:t>
      </w:r>
      <w:r w:rsidR="0082411E">
        <w:t xml:space="preserve">able to vote. </w:t>
      </w:r>
      <w:r w:rsidR="0077023C">
        <w:t xml:space="preserve">Referring to the judgment in the case of </w:t>
      </w:r>
      <w:r w:rsidR="00BC4081" w:rsidRPr="00BC4081">
        <w:rPr>
          <w:i/>
          <w:szCs w:val="24"/>
          <w:lang w:eastAsia="en-US"/>
        </w:rPr>
        <w:t xml:space="preserve">Hirst v. the </w:t>
      </w:r>
      <w:smartTag w:uri="urn:schemas-microsoft-com:office:smarttags" w:element="place">
        <w:smartTag w:uri="urn:schemas-microsoft-com:office:smarttags" w:element="country-region">
          <w:r w:rsidR="00BC4081" w:rsidRPr="00BC4081">
            <w:rPr>
              <w:i/>
              <w:szCs w:val="24"/>
              <w:lang w:eastAsia="en-US"/>
            </w:rPr>
            <w:t>United Kingdom</w:t>
          </w:r>
        </w:smartTag>
      </w:smartTag>
      <w:r w:rsidR="00BC4081" w:rsidRPr="00BC4081">
        <w:rPr>
          <w:i/>
          <w:szCs w:val="24"/>
          <w:lang w:eastAsia="en-US"/>
        </w:rPr>
        <w:t xml:space="preserve"> (no. 2)</w:t>
      </w:r>
      <w:r w:rsidR="00BC4081" w:rsidRPr="00BC4081">
        <w:rPr>
          <w:szCs w:val="24"/>
          <w:lang w:eastAsia="en-US"/>
        </w:rPr>
        <w:t xml:space="preserve"> [GC] </w:t>
      </w:r>
      <w:r w:rsidR="00BC4081">
        <w:rPr>
          <w:szCs w:val="24"/>
          <w:lang w:eastAsia="en-US"/>
        </w:rPr>
        <w:t>(</w:t>
      </w:r>
      <w:r w:rsidR="00BC4081" w:rsidRPr="00BC4081">
        <w:rPr>
          <w:szCs w:val="24"/>
          <w:lang w:eastAsia="en-US"/>
        </w:rPr>
        <w:t>no.</w:t>
      </w:r>
      <w:r w:rsidR="003D4726">
        <w:rPr>
          <w:szCs w:val="24"/>
          <w:lang w:eastAsia="en-US"/>
        </w:rPr>
        <w:t> </w:t>
      </w:r>
      <w:r w:rsidR="00BC4081" w:rsidRPr="00BC4081">
        <w:rPr>
          <w:szCs w:val="24"/>
          <w:lang w:eastAsia="en-US"/>
        </w:rPr>
        <w:t>74025/01, ECHR 2005</w:t>
      </w:r>
      <w:r w:rsidR="00BC4081" w:rsidRPr="00BC4081">
        <w:rPr>
          <w:szCs w:val="24"/>
          <w:lang w:eastAsia="en-US"/>
        </w:rPr>
        <w:noBreakHyphen/>
        <w:t>IX</w:t>
      </w:r>
      <w:r w:rsidR="00BC4081">
        <w:rPr>
          <w:szCs w:val="24"/>
          <w:lang w:eastAsia="en-US"/>
        </w:rPr>
        <w:t xml:space="preserve">) </w:t>
      </w:r>
      <w:r w:rsidR="00AE2EFB">
        <w:t xml:space="preserve">the </w:t>
      </w:r>
      <w:r w:rsidR="0082411E">
        <w:t xml:space="preserve">applicant requested that he </w:t>
      </w:r>
      <w:r w:rsidR="00AC7E5F">
        <w:t xml:space="preserve">should nevertheless </w:t>
      </w:r>
      <w:r w:rsidR="0082411E">
        <w:t>be allowed to cast his vote in the July 2007 elections</w:t>
      </w:r>
      <w:r w:rsidR="00C03618">
        <w:t>. He added that</w:t>
      </w:r>
      <w:r w:rsidR="00F0156C">
        <w:t xml:space="preserve"> the right to vote was a right guaranteed</w:t>
      </w:r>
      <w:r w:rsidR="004F21A6">
        <w:t xml:space="preserve"> in</w:t>
      </w:r>
      <w:r w:rsidR="00F0156C">
        <w:t xml:space="preserve">, </w:t>
      </w:r>
      <w:r w:rsidR="00F0156C">
        <w:rPr>
          <w:i/>
        </w:rPr>
        <w:t>inter alia</w:t>
      </w:r>
      <w:r w:rsidR="00F0156C">
        <w:t>, Article 3 of Protocol No. 1</w:t>
      </w:r>
      <w:r w:rsidR="00C77AB5">
        <w:t xml:space="preserve">.He argued that </w:t>
      </w:r>
      <w:r w:rsidR="00D71323">
        <w:t xml:space="preserve">the </w:t>
      </w:r>
      <w:r w:rsidR="00D71323" w:rsidRPr="00D71323">
        <w:rPr>
          <w:i/>
        </w:rPr>
        <w:t>Hirst</w:t>
      </w:r>
      <w:r w:rsidR="00D71323">
        <w:t xml:space="preserve"> judgment</w:t>
      </w:r>
      <w:r w:rsidR="00C77AB5">
        <w:t>,</w:t>
      </w:r>
      <w:r w:rsidR="00D71323">
        <w:t xml:space="preserve"> when read in conjunction with </w:t>
      </w:r>
      <w:r w:rsidR="00C03618">
        <w:t>section 90 of the Constitution</w:t>
      </w:r>
      <w:r w:rsidR="00D71323">
        <w:t xml:space="preserve"> (see </w:t>
      </w:r>
      <w:r w:rsidR="00880340">
        <w:t>“</w:t>
      </w:r>
      <w:r w:rsidR="00D71323">
        <w:t>Relevant Domestic Law</w:t>
      </w:r>
      <w:r w:rsidR="00880340">
        <w:t xml:space="preserve"> and Practice”</w:t>
      </w:r>
      <w:r w:rsidR="00D71323">
        <w:t xml:space="preserve"> below)</w:t>
      </w:r>
      <w:r w:rsidR="00C03618">
        <w:t xml:space="preserve">, </w:t>
      </w:r>
      <w:r w:rsidR="00A778D8">
        <w:t xml:space="preserve">meant that </w:t>
      </w:r>
      <w:r w:rsidR="00D71323">
        <w:t>the High Council</w:t>
      </w:r>
      <w:r w:rsidR="003F723A">
        <w:t xml:space="preserve"> for Elections</w:t>
      </w:r>
      <w:r w:rsidR="00D71323">
        <w:t xml:space="preserve"> was under an obligation to make the necessary arrangements </w:t>
      </w:r>
      <w:r w:rsidR="00C77AB5">
        <w:t xml:space="preserve">in order </w:t>
      </w:r>
      <w:r w:rsidR="00D71323">
        <w:t>to enable him to vote.</w:t>
      </w:r>
    </w:p>
    <w:p w:rsidR="00F0156C" w:rsidRDefault="003708D5" w:rsidP="002F4BCF">
      <w:pPr>
        <w:pStyle w:val="JuPara"/>
      </w:pPr>
      <w:r>
        <w:fldChar w:fldCharType="begin"/>
      </w:r>
      <w:r w:rsidR="00F0156C">
        <w:instrText xml:space="preserve"> SEQ level0 \*arabic </w:instrText>
      </w:r>
      <w:r>
        <w:fldChar w:fldCharType="separate"/>
      </w:r>
      <w:r w:rsidR="00414CD4">
        <w:rPr>
          <w:noProof/>
        </w:rPr>
        <w:t>8</w:t>
      </w:r>
      <w:r>
        <w:fldChar w:fldCharType="end"/>
      </w:r>
      <w:r w:rsidR="00F0156C">
        <w:t>.  </w:t>
      </w:r>
      <w:r w:rsidR="00C14673">
        <w:t xml:space="preserve">On 29 June </w:t>
      </w:r>
      <w:r w:rsidR="00C521B5">
        <w:t>2</w:t>
      </w:r>
      <w:r w:rsidR="00C14673">
        <w:t>007 the High Council for Elections replied to the applicant</w:t>
      </w:r>
      <w:r w:rsidR="00697AAB">
        <w:t>’</w:t>
      </w:r>
      <w:r w:rsidR="00C14673">
        <w:t>s letter</w:t>
      </w:r>
      <w:r w:rsidR="00C77AB5">
        <w:t>,</w:t>
      </w:r>
      <w:r w:rsidR="00C14673">
        <w:t xml:space="preserve"> and informed him that pursuant to section 7 § 3 of Law No.</w:t>
      </w:r>
      <w:r w:rsidR="003D4726">
        <w:t> </w:t>
      </w:r>
      <w:r w:rsidR="00C14673">
        <w:t xml:space="preserve">298 (see </w:t>
      </w:r>
      <w:r w:rsidR="003F723A">
        <w:t>“</w:t>
      </w:r>
      <w:r w:rsidR="00C14673">
        <w:t>Relevant Domestic Law</w:t>
      </w:r>
      <w:r w:rsidR="003F723A">
        <w:t xml:space="preserve"> and Practice”</w:t>
      </w:r>
      <w:r w:rsidR="00C14673">
        <w:t xml:space="preserve"> below) it was not possible for him to vote. The High Council</w:t>
      </w:r>
      <w:r w:rsidR="003F723A">
        <w:t xml:space="preserve"> for Elections</w:t>
      </w:r>
      <w:r w:rsidR="00C14673">
        <w:t xml:space="preserve"> added that </w:t>
      </w:r>
      <w:r w:rsidR="006C7612">
        <w:t>i</w:t>
      </w:r>
      <w:r w:rsidR="00C14673">
        <w:t>t w</w:t>
      </w:r>
      <w:r w:rsidR="006C7612">
        <w:t>as</w:t>
      </w:r>
      <w:r w:rsidR="00C14673">
        <w:t xml:space="preserve"> in the process of </w:t>
      </w:r>
      <w:r w:rsidR="00AC7E5F">
        <w:t>correcting</w:t>
      </w:r>
      <w:r w:rsidR="006C7612">
        <w:t>i</w:t>
      </w:r>
      <w:r w:rsidR="00C14673">
        <w:t>t</w:t>
      </w:r>
      <w:r w:rsidR="006C7612">
        <w:t>s</w:t>
      </w:r>
      <w:r w:rsidR="00C14673">
        <w:t xml:space="preserve"> records</w:t>
      </w:r>
      <w:r w:rsidR="00C03618">
        <w:t xml:space="preserve"> to reflect the applicant</w:t>
      </w:r>
      <w:r w:rsidR="00697AAB">
        <w:t>’</w:t>
      </w:r>
      <w:r w:rsidR="00A778D8">
        <w:t>s status</w:t>
      </w:r>
      <w:r w:rsidR="00C77AB5">
        <w:t xml:space="preserve"> as a convicted prisoner.</w:t>
      </w:r>
    </w:p>
    <w:p w:rsidR="00C03618" w:rsidRDefault="003708D5" w:rsidP="002F4BCF">
      <w:pPr>
        <w:pStyle w:val="JuPara"/>
      </w:pPr>
      <w:r>
        <w:fldChar w:fldCharType="begin"/>
      </w:r>
      <w:r w:rsidR="00C03618">
        <w:instrText xml:space="preserve"> SEQ level0 \*arabic </w:instrText>
      </w:r>
      <w:r>
        <w:fldChar w:fldCharType="separate"/>
      </w:r>
      <w:r w:rsidR="00414CD4">
        <w:rPr>
          <w:noProof/>
        </w:rPr>
        <w:t>9</w:t>
      </w:r>
      <w:r>
        <w:fldChar w:fldCharType="end"/>
      </w:r>
      <w:r w:rsidR="00C03618">
        <w:t>.  </w:t>
      </w:r>
      <w:r w:rsidR="0018705B">
        <w:t xml:space="preserve">A similarly worded letter was sent to the applicant by the </w:t>
      </w:r>
      <w:r w:rsidR="00AC7E5F">
        <w:t xml:space="preserve">Chairman </w:t>
      </w:r>
      <w:r w:rsidR="0018705B">
        <w:t xml:space="preserve">of the High Council </w:t>
      </w:r>
      <w:r w:rsidR="003F723A">
        <w:t xml:space="preserve">for Elections </w:t>
      </w:r>
      <w:r w:rsidR="0018705B">
        <w:t>on 2 July 2007.</w:t>
      </w:r>
    </w:p>
    <w:p w:rsidR="00C521B5" w:rsidRDefault="003708D5" w:rsidP="002F4BCF">
      <w:pPr>
        <w:pStyle w:val="JuPara"/>
      </w:pPr>
      <w:r>
        <w:fldChar w:fldCharType="begin"/>
      </w:r>
      <w:r w:rsidR="00C521B5">
        <w:instrText xml:space="preserve"> SEQ level0 \*arabic </w:instrText>
      </w:r>
      <w:r>
        <w:fldChar w:fldCharType="separate"/>
      </w:r>
      <w:r w:rsidR="00414CD4">
        <w:rPr>
          <w:noProof/>
        </w:rPr>
        <w:t>10</w:t>
      </w:r>
      <w:r>
        <w:fldChar w:fldCharType="end"/>
      </w:r>
      <w:r w:rsidR="00C521B5">
        <w:t>.  On 22 July 200</w:t>
      </w:r>
      <w:r w:rsidR="003A1AEF">
        <w:t>7</w:t>
      </w:r>
      <w:r w:rsidR="00C521B5">
        <w:t xml:space="preserve"> general elections took place and the applicant was unable to cast his vote.</w:t>
      </w:r>
    </w:p>
    <w:p w:rsidR="00FF7882" w:rsidRPr="00F00005" w:rsidRDefault="003708D5" w:rsidP="002F4BCF">
      <w:pPr>
        <w:pStyle w:val="JuPara"/>
        <w:rPr>
          <w:lang w:eastAsia="en-US"/>
        </w:rPr>
      </w:pPr>
      <w:r>
        <w:fldChar w:fldCharType="begin"/>
      </w:r>
      <w:r w:rsidR="00FF7882">
        <w:instrText xml:space="preserve"> SEQ level0 \*arabic </w:instrText>
      </w:r>
      <w:r>
        <w:fldChar w:fldCharType="separate"/>
      </w:r>
      <w:r w:rsidR="00414CD4">
        <w:rPr>
          <w:noProof/>
        </w:rPr>
        <w:t>11</w:t>
      </w:r>
      <w:r>
        <w:fldChar w:fldCharType="end"/>
      </w:r>
      <w:r w:rsidR="00FF7882">
        <w:t>.  Although the applicant</w:t>
      </w:r>
      <w:r w:rsidR="00697AAB">
        <w:t>’</w:t>
      </w:r>
      <w:r w:rsidR="00FF7882">
        <w:t>s prison sentence was to end on 1</w:t>
      </w:r>
      <w:r w:rsidR="003D4726">
        <w:t> </w:t>
      </w:r>
      <w:r w:rsidR="00FF7882">
        <w:t xml:space="preserve">April 2012, he was released from prison </w:t>
      </w:r>
      <w:r w:rsidR="004A5888">
        <w:t xml:space="preserve">on </w:t>
      </w:r>
      <w:r w:rsidR="009E2788">
        <w:t xml:space="preserve">probation on </w:t>
      </w:r>
      <w:r w:rsidR="00FF7882">
        <w:t>9 April 2009 pursuant to Law No.</w:t>
      </w:r>
      <w:r w:rsidR="003D4726">
        <w:t> </w:t>
      </w:r>
      <w:r w:rsidR="00FF7882">
        <w:t>647</w:t>
      </w:r>
      <w:r w:rsidR="00C66337">
        <w:t xml:space="preserve"> for good behaviour</w:t>
      </w:r>
      <w:r w:rsidR="00116623">
        <w:t xml:space="preserve"> (see “Relevant Domestic Law and Practice” below)</w:t>
      </w:r>
      <w:r w:rsidR="00C66337">
        <w:t>.</w:t>
      </w:r>
      <w:r w:rsidR="00C521B5">
        <w:t xml:space="preserve"> However,</w:t>
      </w:r>
      <w:r w:rsidR="00A778D8">
        <w:t xml:space="preserve"> in accordance with the applicable legislation,</w:t>
      </w:r>
      <w:r w:rsidR="004A5888">
        <w:t>the applicant</w:t>
      </w:r>
      <w:r w:rsidR="00697AAB">
        <w:t>’</w:t>
      </w:r>
      <w:r w:rsidR="004A5888">
        <w:t xml:space="preserve">s </w:t>
      </w:r>
      <w:r w:rsidR="00C521B5">
        <w:t>inability to vote continued until 1</w:t>
      </w:r>
      <w:r w:rsidR="00116623">
        <w:t> </w:t>
      </w:r>
      <w:r w:rsidR="00C521B5">
        <w:t>April 2012.</w:t>
      </w:r>
    </w:p>
    <w:p w:rsidR="007352DD" w:rsidRDefault="007352DD" w:rsidP="008824B9">
      <w:pPr>
        <w:pStyle w:val="JuHIRoman"/>
        <w:outlineLvl w:val="0"/>
      </w:pPr>
      <w:r w:rsidRPr="00F00005">
        <w:t>II.</w:t>
      </w:r>
      <w:r w:rsidR="003F1D35">
        <w:t> </w:t>
      </w:r>
      <w:r w:rsidRPr="00F00005">
        <w:t> RELEVANT DOMESTIC LAW AND PRACTICE</w:t>
      </w:r>
    </w:p>
    <w:p w:rsidR="001310F1" w:rsidRDefault="003708D5" w:rsidP="001310F1">
      <w:pPr>
        <w:pStyle w:val="JuPara"/>
      </w:pPr>
      <w:r>
        <w:fldChar w:fldCharType="begin"/>
      </w:r>
      <w:r w:rsidR="001310F1">
        <w:instrText xml:space="preserve"> SEQ level0 \*arabic </w:instrText>
      </w:r>
      <w:r>
        <w:fldChar w:fldCharType="separate"/>
      </w:r>
      <w:r w:rsidR="00414CD4">
        <w:rPr>
          <w:noProof/>
        </w:rPr>
        <w:t>12</w:t>
      </w:r>
      <w:r>
        <w:fldChar w:fldCharType="end"/>
      </w:r>
      <w:r w:rsidR="001310F1">
        <w:t>.  Relevant parts of the Turkish Constitution provide as follows:</w:t>
      </w:r>
    </w:p>
    <w:p w:rsidR="001310F1" w:rsidRDefault="008F4847" w:rsidP="00BB7BEB">
      <w:pPr>
        <w:pStyle w:val="JuQuot"/>
      </w:pPr>
      <w:r>
        <w:t>“</w:t>
      </w:r>
      <w:r w:rsidR="001310F1">
        <w:t>Section 67:</w:t>
      </w:r>
    </w:p>
    <w:p w:rsidR="003F1D35" w:rsidRDefault="00BB7BEB" w:rsidP="00BB7BEB">
      <w:pPr>
        <w:pStyle w:val="JuQuot"/>
      </w:pPr>
      <w:r w:rsidRPr="005C51F8">
        <w:t>In conformity with the conditions set forth in the law, citizens have the right to vote, to be elected, and to engage in political activities independently or in a political party, and to take part in a referendum.</w:t>
      </w:r>
    </w:p>
    <w:p w:rsidR="00BB7BEB" w:rsidRPr="005C51F8" w:rsidRDefault="00BB7BEB" w:rsidP="00BB7BEB">
      <w:pPr>
        <w:pStyle w:val="JuQuot"/>
      </w:pPr>
      <w:r w:rsidRPr="005C51F8">
        <w:t xml:space="preserve">Elections and referenda shall be held under the direction and supervision of the judiciary, in accordance with the principles of free, equal, secret, and direct, universal suffrage, and public counting of the votes. However, the conditions under which the </w:t>
      </w:r>
      <w:r w:rsidRPr="005C51F8">
        <w:lastRenderedPageBreak/>
        <w:t>Turkish citizens who are abroad shall be able to exercise their right to vote, are regulated by law.</w:t>
      </w:r>
    </w:p>
    <w:p w:rsidR="003F1D35" w:rsidRDefault="00BB7BEB" w:rsidP="00BB7BEB">
      <w:pPr>
        <w:pStyle w:val="JuQuot"/>
      </w:pPr>
      <w:r w:rsidRPr="005C51F8">
        <w:t>All Turkish citizens over 18 years of age shall have the right to vote in elections and to take part in referenda.</w:t>
      </w:r>
    </w:p>
    <w:p w:rsidR="003F1D35" w:rsidRDefault="00BB7BEB" w:rsidP="00BB7BEB">
      <w:pPr>
        <w:pStyle w:val="JuQuot"/>
      </w:pPr>
      <w:r w:rsidRPr="005C51F8">
        <w:t>The exercise of these rights shall be regulated by law.</w:t>
      </w:r>
    </w:p>
    <w:p w:rsidR="003F1D35" w:rsidRDefault="00BB7BEB" w:rsidP="00BB7BEB">
      <w:pPr>
        <w:pStyle w:val="JuQuot"/>
      </w:pPr>
      <w:r w:rsidRPr="005C51F8">
        <w:t xml:space="preserve">Privates and corporals serving in the armed services, students in military schools, and </w:t>
      </w:r>
      <w:r w:rsidRPr="00CB7858">
        <w:t xml:space="preserve">convicts in </w:t>
      </w:r>
      <w:r w:rsidR="00D81C44" w:rsidRPr="00CB7858">
        <w:t>prisons</w:t>
      </w:r>
      <w:r w:rsidRPr="00CB7858">
        <w:t xml:space="preserve"> excluding those convicted of negligent offences cannot vote. The </w:t>
      </w:r>
      <w:r w:rsidR="00D81C44" w:rsidRPr="00CB7858">
        <w:t>High Council for Elections</w:t>
      </w:r>
      <w:r w:rsidRPr="00CB7858">
        <w:t xml:space="preserve"> shall</w:t>
      </w:r>
      <w:r w:rsidRPr="005C51F8">
        <w:t xml:space="preserve"> determine the measures to be taken to ensure the safety of the counting of votes when detainees in penal institutions or prisons vote; such voting is done under the on-site direction and supervision of authorized judge. The electoral laws shall be drawn up in such a way as to reconcile the principles of fair representation and consistency in administration.</w:t>
      </w:r>
    </w:p>
    <w:p w:rsidR="003F1D35" w:rsidRDefault="00BB7BEB" w:rsidP="00BB7BEB">
      <w:pPr>
        <w:pStyle w:val="JuQuot"/>
      </w:pPr>
      <w:r w:rsidRPr="005C51F8">
        <w:t xml:space="preserve">The amendments made in the electoral laws shall not be applied to the elections to be held within the year from when the amendments </w:t>
      </w:r>
      <w:r w:rsidR="006C7612">
        <w:t>c</w:t>
      </w:r>
      <w:r w:rsidRPr="005C51F8">
        <w:t>o</w:t>
      </w:r>
      <w:r w:rsidR="006C7612">
        <w:t>me</w:t>
      </w:r>
      <w:r w:rsidRPr="005C51F8">
        <w:t xml:space="preserve"> into force.</w:t>
      </w:r>
    </w:p>
    <w:p w:rsidR="009941CD" w:rsidRDefault="0070652B" w:rsidP="00BB7BEB">
      <w:pPr>
        <w:pStyle w:val="JuQuot"/>
      </w:pPr>
      <w:r>
        <w:t>...</w:t>
      </w:r>
    </w:p>
    <w:p w:rsidR="001310F1" w:rsidRDefault="001310F1" w:rsidP="00BB7BEB">
      <w:pPr>
        <w:pStyle w:val="JuQuot"/>
      </w:pPr>
      <w:r>
        <w:t>Section 90</w:t>
      </w:r>
      <w:r w:rsidR="00282944">
        <w:t>:</w:t>
      </w:r>
    </w:p>
    <w:p w:rsidR="00BB7BEB" w:rsidRDefault="00BB7BEB" w:rsidP="00BB7BEB">
      <w:pPr>
        <w:pStyle w:val="JuQuot"/>
      </w:pPr>
      <w:r>
        <w:t>...</w:t>
      </w:r>
    </w:p>
    <w:p w:rsidR="003F1D35" w:rsidRDefault="009941CD" w:rsidP="00BB7BEB">
      <w:pPr>
        <w:pStyle w:val="JuQuot"/>
      </w:pPr>
      <w:r w:rsidRPr="001B7FDD">
        <w:t xml:space="preserve">International agreements duly put into effect bear the force of law. No appeal to the </w:t>
      </w:r>
      <w:smartTag w:uri="urn:schemas-microsoft-com:office:smarttags" w:element="Street">
        <w:smartTag w:uri="urn:schemas-microsoft-com:office:smarttags" w:element="address">
          <w:r w:rsidRPr="001B7FDD">
            <w:t>Constitutional Court</w:t>
          </w:r>
        </w:smartTag>
      </w:smartTag>
      <w:r w:rsidRPr="001B7FDD">
        <w:t xml:space="preserve"> shall be made with regard to these agreements, on the grounds that they are unconstitutional. In the case of a conflict between international agreements in the area of fundamental rights and freedoms duly put into effect and the domestic laws due to differences in provisions on the same matter, the provisions of international agreements shall prevail.</w:t>
      </w:r>
      <w:r>
        <w:t>”</w:t>
      </w:r>
    </w:p>
    <w:p w:rsidR="009E30D6" w:rsidRDefault="003708D5" w:rsidP="009E30D6">
      <w:pPr>
        <w:pStyle w:val="JuPara"/>
      </w:pPr>
      <w:r>
        <w:fldChar w:fldCharType="begin"/>
      </w:r>
      <w:r w:rsidR="009E30D6">
        <w:instrText xml:space="preserve"> SEQ level0 \*arabic </w:instrText>
      </w:r>
      <w:r>
        <w:fldChar w:fldCharType="separate"/>
      </w:r>
      <w:r w:rsidR="00414CD4">
        <w:rPr>
          <w:noProof/>
        </w:rPr>
        <w:t>13</w:t>
      </w:r>
      <w:r>
        <w:fldChar w:fldCharType="end"/>
      </w:r>
      <w:r w:rsidR="009E30D6">
        <w:t>.  Section 7 of the Law on Basic Provisions Concerning Elections and on Registers of Voters (Law No. 298</w:t>
      </w:r>
      <w:r w:rsidR="00780692">
        <w:t xml:space="preserve"> of 1961</w:t>
      </w:r>
      <w:r w:rsidR="009E30D6">
        <w:t>) provides as follows:</w:t>
      </w:r>
    </w:p>
    <w:p w:rsidR="009E30D6" w:rsidRDefault="009E30D6" w:rsidP="009E30D6">
      <w:pPr>
        <w:pStyle w:val="JuQuot"/>
      </w:pPr>
      <w:r>
        <w:t>“7. The following persons cannot vote:</w:t>
      </w:r>
    </w:p>
    <w:p w:rsidR="009E30D6" w:rsidRDefault="009E30D6" w:rsidP="009E30D6">
      <w:pPr>
        <w:pStyle w:val="JuQuot"/>
      </w:pPr>
      <w:r>
        <w:t>(1) Privates, corporals and sergeants performing their military service (this provision is applicable also to those on leave, whatever the reason for their leave),</w:t>
      </w:r>
    </w:p>
    <w:p w:rsidR="009E30D6" w:rsidRDefault="009E30D6" w:rsidP="009E30D6">
      <w:pPr>
        <w:pStyle w:val="JuQuot"/>
      </w:pPr>
      <w:r>
        <w:t>(2) Students in military schools,</w:t>
      </w:r>
    </w:p>
    <w:p w:rsidR="009E30D6" w:rsidRDefault="009E30D6" w:rsidP="009E30D6">
      <w:pPr>
        <w:pStyle w:val="JuQuot"/>
      </w:pPr>
      <w:r>
        <w:t>(3) Convicts in penitentiary establishments.”</w:t>
      </w:r>
    </w:p>
    <w:p w:rsidR="001843A4" w:rsidRDefault="003708D5" w:rsidP="002F4BCF">
      <w:pPr>
        <w:pStyle w:val="JuPara"/>
      </w:pPr>
      <w:r>
        <w:fldChar w:fldCharType="begin"/>
      </w:r>
      <w:r w:rsidR="009E30D6">
        <w:instrText xml:space="preserve"> SEQ level0 \*arabic </w:instrText>
      </w:r>
      <w:r>
        <w:fldChar w:fldCharType="separate"/>
      </w:r>
      <w:r w:rsidR="00414CD4">
        <w:rPr>
          <w:noProof/>
        </w:rPr>
        <w:t>14</w:t>
      </w:r>
      <w:r>
        <w:fldChar w:fldCharType="end"/>
      </w:r>
      <w:r w:rsidR="009E30D6">
        <w:t>.  </w:t>
      </w:r>
      <w:r w:rsidR="00AC7E5F">
        <w:t>Relevant provisions of s</w:t>
      </w:r>
      <w:r w:rsidR="001843A4">
        <w:t>ection 53 of the Criminal Code (Law no.</w:t>
      </w:r>
      <w:r w:rsidR="003D4726">
        <w:t> </w:t>
      </w:r>
      <w:r w:rsidR="001843A4">
        <w:t>5237</w:t>
      </w:r>
      <w:r w:rsidR="00780692">
        <w:t xml:space="preserve"> of 2004</w:t>
      </w:r>
      <w:r w:rsidR="001843A4">
        <w:t>) provideas follows:</w:t>
      </w:r>
    </w:p>
    <w:p w:rsidR="001843A4" w:rsidRDefault="00282944" w:rsidP="001843A4">
      <w:pPr>
        <w:pStyle w:val="JuQuot"/>
      </w:pPr>
      <w:r>
        <w:t>“</w:t>
      </w:r>
      <w:r w:rsidR="001843A4">
        <w:t xml:space="preserve">(1) As </w:t>
      </w:r>
      <w:r w:rsidR="00161E82">
        <w:t xml:space="preserve">the </w:t>
      </w:r>
      <w:r w:rsidR="000D1B73">
        <w:t>statutory</w:t>
      </w:r>
      <w:r w:rsidR="001843A4">
        <w:t xml:space="preserve"> consequence of imposition of a prison sentence for an offence committed intentionally, the person shall be deprived of the following [rights]:</w:t>
      </w:r>
    </w:p>
    <w:p w:rsidR="001843A4" w:rsidRDefault="001843A4" w:rsidP="001843A4">
      <w:pPr>
        <w:pStyle w:val="JuQuot"/>
      </w:pPr>
      <w:r>
        <w:t>a) Undertaking of permanent or temporary public duties</w:t>
      </w:r>
      <w:r w:rsidR="006D0309">
        <w:t>,</w:t>
      </w:r>
      <w:r>
        <w:t xml:space="preserve"> including membership of the Turkish National Assembly and all civil service and other duties which are offered </w:t>
      </w:r>
      <w:r w:rsidR="00CD220C">
        <w:t xml:space="preserve">through election or appointment </w:t>
      </w:r>
      <w:r>
        <w:t>by the State, city councils, town councils, village councils</w:t>
      </w:r>
      <w:r w:rsidR="006D0309">
        <w:t>,</w:t>
      </w:r>
      <w:r>
        <w:t xml:space="preserve"> or organisations controlled or supervised by them;</w:t>
      </w:r>
    </w:p>
    <w:p w:rsidR="001843A4" w:rsidRDefault="001843A4" w:rsidP="001843A4">
      <w:pPr>
        <w:pStyle w:val="JuQuot"/>
      </w:pPr>
      <w:r>
        <w:t>b) Voting, standing for election and enjoying all other political rights;</w:t>
      </w:r>
    </w:p>
    <w:p w:rsidR="001843A4" w:rsidRDefault="001843A4" w:rsidP="001843A4">
      <w:pPr>
        <w:pStyle w:val="JuQuot"/>
      </w:pPr>
      <w:r>
        <w:t xml:space="preserve">c) </w:t>
      </w:r>
      <w:r w:rsidR="00161E82">
        <w:t>Exercising c</w:t>
      </w:r>
      <w:r w:rsidR="006D0309">
        <w:t xml:space="preserve">ustodial rights as a parent; </w:t>
      </w:r>
      <w:r>
        <w:t>perform</w:t>
      </w:r>
      <w:r w:rsidR="006D0309">
        <w:t>ing</w:t>
      </w:r>
      <w:r>
        <w:t xml:space="preserve"> duties as a guardian or a trustee;</w:t>
      </w:r>
    </w:p>
    <w:p w:rsidR="001843A4" w:rsidRDefault="001843A4" w:rsidP="001843A4">
      <w:pPr>
        <w:pStyle w:val="JuQuot"/>
      </w:pPr>
      <w:r>
        <w:lastRenderedPageBreak/>
        <w:t>d) Chairing or auditing foundations, associations, unions, companies, cooperatives and political parties;</w:t>
      </w:r>
    </w:p>
    <w:p w:rsidR="001843A4" w:rsidRDefault="001843A4" w:rsidP="001843A4">
      <w:pPr>
        <w:pStyle w:val="JuQuot"/>
      </w:pPr>
      <w:r>
        <w:t xml:space="preserve">e) Performing a self-employed </w:t>
      </w:r>
      <w:r w:rsidR="006D0309">
        <w:t>profession which</w:t>
      </w:r>
      <w:r>
        <w:t xml:space="preserve"> is subject to regulation by public organisations or by chambers of commerce which have public status.</w:t>
      </w:r>
    </w:p>
    <w:p w:rsidR="001843A4" w:rsidRDefault="001843A4" w:rsidP="001843A4">
      <w:pPr>
        <w:pStyle w:val="JuQuot"/>
      </w:pPr>
      <w:r>
        <w:t>(2) The person cannot enjoy the [above-mentioned] rights until the completion of execution of the prison sentence to which he or she has been sentenced as a consequence of the commission of the offence.</w:t>
      </w:r>
    </w:p>
    <w:p w:rsidR="001843A4" w:rsidRDefault="00DA38D3" w:rsidP="001843A4">
      <w:pPr>
        <w:pStyle w:val="JuQuot"/>
      </w:pPr>
      <w:r>
        <w:t>(3) The provision</w:t>
      </w:r>
      <w:r w:rsidR="00161E82">
        <w:t>s above which</w:t>
      </w:r>
      <w:r>
        <w:t xml:space="preserve"> relat</w:t>
      </w:r>
      <w:r w:rsidR="00161E82">
        <w:t>e</w:t>
      </w:r>
      <w:r>
        <w:t xml:space="preserve"> to the </w:t>
      </w:r>
      <w:r w:rsidR="00161E82">
        <w:t xml:space="preserve">exercise of </w:t>
      </w:r>
      <w:r>
        <w:t>custodial rights as a parent, and duties as a guardian or a trustee shall not be applicable to the convicted person whose prison sentence is suspended or who is conditionally released from the prison. A decision may</w:t>
      </w:r>
      <w:r w:rsidR="00161E82">
        <w:t xml:space="preserve">[also] </w:t>
      </w:r>
      <w:r>
        <w:t>be taken not to apply subsection 1 (e) above to a convict whose prison sentence is suspended.</w:t>
      </w:r>
    </w:p>
    <w:p w:rsidR="001843A4" w:rsidRDefault="001843A4" w:rsidP="001843A4">
      <w:pPr>
        <w:pStyle w:val="JuQuot"/>
      </w:pPr>
      <w:r>
        <w:t xml:space="preserve">(4) Sub-section 1 above shall not be applicable to persons whose short term prison sentence is suspended or to </w:t>
      </w:r>
      <w:r w:rsidR="006D0309">
        <w:t>persons</w:t>
      </w:r>
      <w:r>
        <w:t xml:space="preserve"> who were under the age of eighteen at the time of the commission of the offence.</w:t>
      </w:r>
    </w:p>
    <w:p w:rsidR="00C51FBC" w:rsidRDefault="001843A4" w:rsidP="001843A4">
      <w:pPr>
        <w:pStyle w:val="JuQuot"/>
      </w:pPr>
      <w:r>
        <w:t xml:space="preserve">(5) </w:t>
      </w:r>
      <w:r w:rsidR="00BD3317">
        <w:t xml:space="preserve">Where the person is sentenced for an offence committed by abusing one of the rights and powers mentioned in sub-section 1 above, a further prohibition of the enjoyment of the same right shall be imposed for a period </w:t>
      </w:r>
      <w:r w:rsidR="00C51FBC">
        <w:t xml:space="preserve">equal to </w:t>
      </w:r>
      <w:r w:rsidR="00BD3317">
        <w:t xml:space="preserve">between a half and </w:t>
      </w:r>
      <w:r w:rsidR="00C51FBC">
        <w:t>the</w:t>
      </w:r>
      <w:r w:rsidR="00BD3317">
        <w:t xml:space="preserve"> whole length of the prison sentence</w:t>
      </w:r>
      <w:r w:rsidR="0070652B">
        <w:t>...</w:t>
      </w:r>
    </w:p>
    <w:p w:rsidR="001843A4" w:rsidRDefault="00C51FBC" w:rsidP="001843A4">
      <w:pPr>
        <w:pStyle w:val="JuQuot"/>
      </w:pPr>
      <w:r>
        <w:t>.</w:t>
      </w:r>
      <w:r w:rsidR="001843A4">
        <w:t>..”</w:t>
      </w:r>
    </w:p>
    <w:p w:rsidR="00070DF7" w:rsidRDefault="003708D5" w:rsidP="005C005C">
      <w:pPr>
        <w:pStyle w:val="JuPara"/>
      </w:pPr>
      <w:r>
        <w:fldChar w:fldCharType="begin"/>
      </w:r>
      <w:r w:rsidR="00070DF7">
        <w:instrText xml:space="preserve"> SEQ level0 \*arabic </w:instrText>
      </w:r>
      <w:r>
        <w:fldChar w:fldCharType="separate"/>
      </w:r>
      <w:r w:rsidR="00414CD4">
        <w:rPr>
          <w:noProof/>
        </w:rPr>
        <w:t>15</w:t>
      </w:r>
      <w:r>
        <w:fldChar w:fldCharType="end"/>
      </w:r>
      <w:r w:rsidR="00070DF7">
        <w:t>.  According to section 49 § 2, a prison sentence for a period</w:t>
      </w:r>
      <w:r w:rsidR="006C7612">
        <w:t xml:space="preserve"> of</w:t>
      </w:r>
      <w:r w:rsidR="00070DF7">
        <w:t xml:space="preserve"> less than one year shall be regarded as a short term prison sentence.</w:t>
      </w:r>
    </w:p>
    <w:p w:rsidR="005C005C" w:rsidRDefault="003708D5" w:rsidP="005C005C">
      <w:pPr>
        <w:pStyle w:val="JuPara"/>
      </w:pPr>
      <w:r>
        <w:fldChar w:fldCharType="begin"/>
      </w:r>
      <w:r w:rsidR="005C005C">
        <w:instrText xml:space="preserve"> SEQ level0 \*arabic </w:instrText>
      </w:r>
      <w:r>
        <w:fldChar w:fldCharType="separate"/>
      </w:r>
      <w:r w:rsidR="00414CD4">
        <w:rPr>
          <w:noProof/>
        </w:rPr>
        <w:t>16</w:t>
      </w:r>
      <w:r>
        <w:fldChar w:fldCharType="end"/>
      </w:r>
      <w:r w:rsidR="005C005C">
        <w:t>.  According to section 19 of the Law on the Execution of Punishments (Law No. 647) which was in force at the time of the calculation of the length of the applicant</w:t>
      </w:r>
      <w:r w:rsidR="00697AAB">
        <w:t>’</w:t>
      </w:r>
      <w:r w:rsidR="005C005C">
        <w:t xml:space="preserve">s prison sentence, prisoners sentenced to a term of imprisonment could be conditionally released from prison </w:t>
      </w:r>
      <w:r w:rsidR="006C7612">
        <w:t>f</w:t>
      </w:r>
      <w:r w:rsidR="005C005C">
        <w:t>o</w:t>
      </w:r>
      <w:r w:rsidR="006C7612">
        <w:t>r</w:t>
      </w:r>
      <w:r w:rsidR="005C005C">
        <w:t xml:space="preserve"> good behaviour after having served half of their sentences. However, for the purposes of section 53 (2) of the Criminal Code, the date of completion of the prison sentence is not the date of </w:t>
      </w:r>
      <w:r w:rsidR="007937F6">
        <w:t xml:space="preserve">the </w:t>
      </w:r>
      <w:r w:rsidR="005C005C">
        <w:t>conditional release, but the last day of the prison sentence handed down by the criminal court.</w:t>
      </w:r>
    </w:p>
    <w:p w:rsidR="00146956" w:rsidRDefault="003708D5" w:rsidP="002F4BCF">
      <w:pPr>
        <w:pStyle w:val="JuPara"/>
      </w:pPr>
      <w:r>
        <w:fldChar w:fldCharType="begin"/>
      </w:r>
      <w:r w:rsidR="005C005C">
        <w:instrText xml:space="preserve"> SEQ level0 \*arabic </w:instrText>
      </w:r>
      <w:r>
        <w:fldChar w:fldCharType="separate"/>
      </w:r>
      <w:r w:rsidR="00414CD4">
        <w:rPr>
          <w:noProof/>
        </w:rPr>
        <w:t>17</w:t>
      </w:r>
      <w:r>
        <w:fldChar w:fldCharType="end"/>
      </w:r>
      <w:r w:rsidR="005C005C">
        <w:t>.  </w:t>
      </w:r>
      <w:r w:rsidR="003C57E7">
        <w:t>According to t</w:t>
      </w:r>
      <w:r w:rsidR="00146956">
        <w:t xml:space="preserve">he </w:t>
      </w:r>
      <w:r w:rsidR="00780692">
        <w:t>E</w:t>
      </w:r>
      <w:r w:rsidR="003C57E7">
        <w:t xml:space="preserve">xplanatory </w:t>
      </w:r>
      <w:r w:rsidR="00780692">
        <w:t>R</w:t>
      </w:r>
      <w:r w:rsidR="003C57E7">
        <w:t>eport of the Criminal Code</w:t>
      </w:r>
      <w:r w:rsidR="00780692">
        <w:t>,</w:t>
      </w:r>
      <w:r w:rsidR="003C57E7">
        <w:t xml:space="preserve"> the rationale behind </w:t>
      </w:r>
      <w:r w:rsidR="00146956">
        <w:t>section 53 of the Criminal Code</w:t>
      </w:r>
      <w:r w:rsidR="003C57E7">
        <w:t>i</w:t>
      </w:r>
      <w:r w:rsidR="00B92A69">
        <w:t>s</w:t>
      </w:r>
      <w:r w:rsidR="00146956">
        <w:t xml:space="preserve"> as follows:</w:t>
      </w:r>
    </w:p>
    <w:p w:rsidR="00146956" w:rsidRDefault="00B92A69" w:rsidP="00B92A69">
      <w:pPr>
        <w:pStyle w:val="JuQuot"/>
      </w:pPr>
      <w:r>
        <w:t>“</w:t>
      </w:r>
      <w:r w:rsidR="006C7612">
        <w:t>S</w:t>
      </w:r>
      <w:r w:rsidR="009A6AD1">
        <w:t>ociety</w:t>
      </w:r>
      <w:r w:rsidR="00697AAB">
        <w:t>’</w:t>
      </w:r>
      <w:r w:rsidR="009A6AD1">
        <w:t>s trust in the person is damaged on account of the offence committed by him or her. For that reason the convicted person is prevented from exercising certain rights which necessitate a relationship of trust</w:t>
      </w:r>
      <w:r w:rsidR="0070652B">
        <w:t>...</w:t>
      </w:r>
      <w:r w:rsidR="009A6AD1">
        <w:t>This deprivation cannot be indefinite. Since the rationale behind punishment is to ensure that the criminal comes to regret committing the offence</w:t>
      </w:r>
      <w:r>
        <w:t xml:space="preserve"> and that he or she is reintroduced into society, </w:t>
      </w:r>
      <w:r w:rsidR="009A6AD1">
        <w:t>deprivation</w:t>
      </w:r>
      <w:r>
        <w:t xml:space="preserve">s imposed for the commission of theoffence </w:t>
      </w:r>
      <w:r w:rsidR="009A6AD1">
        <w:t xml:space="preserve">shall </w:t>
      </w:r>
      <w:r>
        <w:t xml:space="preserve">continue until </w:t>
      </w:r>
      <w:r w:rsidR="006C7612">
        <w:t xml:space="preserve">the </w:t>
      </w:r>
      <w:r>
        <w:t>end of the execution of the punishment. Thus</w:t>
      </w:r>
      <w:r w:rsidR="00116623">
        <w:t>,</w:t>
      </w:r>
      <w:r>
        <w:t xml:space="preserve"> the person will be behaving in accordance with the needs of the execution of his punishment and, when he has </w:t>
      </w:r>
      <w:r w:rsidR="00116623">
        <w:t>done</w:t>
      </w:r>
      <w:r>
        <w:t xml:space="preserve"> so, he</w:t>
      </w:r>
      <w:r w:rsidR="006C7612">
        <w:t>will be declaring to</w:t>
      </w:r>
      <w:r>
        <w:t xml:space="preserve"> society that he has once again become a trustworthy person</w:t>
      </w:r>
      <w:r w:rsidR="0070652B">
        <w:t>...</w:t>
      </w:r>
      <w:r>
        <w:t>”</w:t>
      </w:r>
      <w:r w:rsidR="007937F6">
        <w:t>.</w:t>
      </w:r>
    </w:p>
    <w:p w:rsidR="00AA306A" w:rsidRDefault="003708D5" w:rsidP="000D1B73">
      <w:pPr>
        <w:pStyle w:val="JuPara"/>
      </w:pPr>
      <w:r>
        <w:fldChar w:fldCharType="begin"/>
      </w:r>
      <w:r w:rsidR="00134401">
        <w:instrText xml:space="preserve"> SEQ level0 \*arabic </w:instrText>
      </w:r>
      <w:r>
        <w:fldChar w:fldCharType="separate"/>
      </w:r>
      <w:r w:rsidR="00414CD4">
        <w:rPr>
          <w:noProof/>
        </w:rPr>
        <w:t>18</w:t>
      </w:r>
      <w:r>
        <w:fldChar w:fldCharType="end"/>
      </w:r>
      <w:r w:rsidR="00134401">
        <w:t xml:space="preserve">.  According to Law </w:t>
      </w:r>
      <w:r w:rsidR="006C7612">
        <w:t xml:space="preserve">on Cheques </w:t>
      </w:r>
      <w:r w:rsidR="00134401">
        <w:t>(Law No. 5941) which entered into force on 20 December 2009 and which was amended by Law No. 6273 on 3</w:t>
      </w:r>
      <w:r w:rsidR="00BB4239">
        <w:t> </w:t>
      </w:r>
      <w:r w:rsidR="00134401">
        <w:t xml:space="preserve">February 2012, drawing cheques without having sufficient funds in </w:t>
      </w:r>
      <w:r w:rsidR="003D4726">
        <w:t>the</w:t>
      </w:r>
      <w:r w:rsidR="00134401">
        <w:t xml:space="preserve"> bank account no longer carries a prison sentence.</w:t>
      </w:r>
      <w:r w:rsidR="00AA306A">
        <w:t xml:space="preserve"> Instead, the person is </w:t>
      </w:r>
      <w:r w:rsidR="00AA306A">
        <w:lastRenderedPageBreak/>
        <w:t>prevented from having a cheque book until he has paid his debt together with its interest.</w:t>
      </w:r>
    </w:p>
    <w:p w:rsidR="000D1B73" w:rsidRDefault="003708D5" w:rsidP="000D1B73">
      <w:pPr>
        <w:pStyle w:val="JuPara"/>
        <w:rPr>
          <w:bCs/>
          <w:szCs w:val="24"/>
        </w:rPr>
      </w:pPr>
      <w:r>
        <w:fldChar w:fldCharType="begin"/>
      </w:r>
      <w:r w:rsidR="000D1B73">
        <w:instrText xml:space="preserve"> SEQ level0 \*arabic </w:instrText>
      </w:r>
      <w:r>
        <w:fldChar w:fldCharType="separate"/>
      </w:r>
      <w:r w:rsidR="00414CD4">
        <w:rPr>
          <w:noProof/>
        </w:rPr>
        <w:t>19</w:t>
      </w:r>
      <w:r>
        <w:fldChar w:fldCharType="end"/>
      </w:r>
      <w:r w:rsidR="000D1B73">
        <w:t>.  </w:t>
      </w:r>
      <w:r w:rsidR="00116623">
        <w:t>In its decision handed down in an unrelated case(</w:t>
      </w:r>
      <w:r w:rsidR="00116623" w:rsidRPr="00EB5E7E">
        <w:rPr>
          <w:szCs w:val="24"/>
        </w:rPr>
        <w:t>decision no.</w:t>
      </w:r>
      <w:r w:rsidR="003D4726">
        <w:rPr>
          <w:szCs w:val="24"/>
        </w:rPr>
        <w:t> </w:t>
      </w:r>
      <w:r w:rsidR="00116623" w:rsidRPr="00EB5E7E">
        <w:rPr>
          <w:bCs/>
          <w:szCs w:val="24"/>
        </w:rPr>
        <w:t>2006/11-183 E., 2006/216 K</w:t>
      </w:r>
      <w:r w:rsidR="00116623">
        <w:rPr>
          <w:bCs/>
          <w:szCs w:val="24"/>
        </w:rPr>
        <w:t>.</w:t>
      </w:r>
      <w:r w:rsidR="00116623">
        <w:t xml:space="preserve">) </w:t>
      </w:r>
      <w:r w:rsidR="00EB5E7E">
        <w:t>t</w:t>
      </w:r>
      <w:r w:rsidR="00EB5E7E" w:rsidRPr="00EB5E7E">
        <w:rPr>
          <w:szCs w:val="24"/>
        </w:rPr>
        <w:t xml:space="preserve">he Grand Chamber of the Criminal Division of the Court of Cassation held the following </w:t>
      </w:r>
      <w:r w:rsidR="00116623">
        <w:rPr>
          <w:szCs w:val="24"/>
        </w:rPr>
        <w:t>i</w:t>
      </w:r>
      <w:r w:rsidR="00116623">
        <w:t>n relation to section 53 of the Criminal Code</w:t>
      </w:r>
      <w:r w:rsidR="00EB5E7E">
        <w:rPr>
          <w:bCs/>
          <w:szCs w:val="24"/>
        </w:rPr>
        <w:t>:</w:t>
      </w:r>
    </w:p>
    <w:p w:rsidR="00EB5E7E" w:rsidRPr="00EB5E7E" w:rsidRDefault="008D12DC" w:rsidP="008D12DC">
      <w:pPr>
        <w:pStyle w:val="JuQuot"/>
        <w:rPr>
          <w:sz w:val="24"/>
        </w:rPr>
      </w:pPr>
      <w:r>
        <w:t>“</w:t>
      </w:r>
      <w:r w:rsidR="0070652B">
        <w:t>...</w:t>
      </w:r>
      <w:r w:rsidR="00CC1D4E">
        <w:t xml:space="preserve">Although </w:t>
      </w:r>
      <w:r w:rsidR="005113CF">
        <w:t xml:space="preserve">no mention </w:t>
      </w:r>
      <w:r w:rsidR="00CC1D4E">
        <w:t>wasmade</w:t>
      </w:r>
      <w:r w:rsidR="005113CF">
        <w:t xml:space="preserve"> of the restrictions mentioned in subsection 1 of section 53 of the Criminal Code</w:t>
      </w:r>
      <w:r w:rsidR="00CC1D4E">
        <w:t xml:space="preserve"> in the </w:t>
      </w:r>
      <w:r w:rsidR="00116623">
        <w:t>judgment</w:t>
      </w:r>
      <w:r w:rsidR="00CC1D4E">
        <w:t xml:space="preserve"> [convicting the appellant]</w:t>
      </w:r>
      <w:r w:rsidR="005113CF">
        <w:t>,</w:t>
      </w:r>
      <w:r w:rsidR="00CC1D4E">
        <w:t xml:space="preserve"> [</w:t>
      </w:r>
      <w:r w:rsidR="005113CF">
        <w:t>th</w:t>
      </w:r>
      <w:r w:rsidR="00CC1D4E">
        <w:t>ose]</w:t>
      </w:r>
      <w:r w:rsidR="005113CF">
        <w:t xml:space="preserve"> restrictions are the natural consequence of </w:t>
      </w:r>
      <w:r w:rsidR="00CC1D4E">
        <w:t>the</w:t>
      </w:r>
      <w:r w:rsidR="00FB68B6">
        <w:t xml:space="preserve"> conviction and </w:t>
      </w:r>
      <w:r w:rsidR="00CC1D4E">
        <w:t xml:space="preserve">do not have to be mentioned in the </w:t>
      </w:r>
      <w:r w:rsidR="00116623">
        <w:t>judgment</w:t>
      </w:r>
      <w:r w:rsidR="00CC1D4E">
        <w:t xml:space="preserve"> for them to be applicable. Therefore, when [th</w:t>
      </w:r>
      <w:r w:rsidR="00116623">
        <w:t>e judgment</w:t>
      </w:r>
      <w:r w:rsidR="00CC1D4E">
        <w:t>] is enforced, section 53 will be applied and the restrictions mentioned in subsection 1</w:t>
      </w:r>
      <w:r w:rsidR="00116623">
        <w:t> </w:t>
      </w:r>
      <w:r w:rsidR="00CC1D4E">
        <w:t xml:space="preserve">(a-e) will come into play. Although after his conditional release from the prison the [appellant] </w:t>
      </w:r>
      <w:r>
        <w:t>will be able to exercise</w:t>
      </w:r>
      <w:r w:rsidR="00CC1D4E">
        <w:t xml:space="preserve"> his </w:t>
      </w:r>
      <w:r>
        <w:t xml:space="preserve">powers [mentioned in 53 </w:t>
      </w:r>
      <w:r>
        <w:rPr>
          <w:szCs w:val="24"/>
          <w:lang w:eastAsia="en-US"/>
        </w:rPr>
        <w:t>§</w:t>
      </w:r>
      <w:r>
        <w:t xml:space="preserve"> 1 (c) of the Criminal Code], restrictions placed on his other rights will continue until his sentence has been executed fully</w:t>
      </w:r>
      <w:r w:rsidR="0070652B">
        <w:t>...</w:t>
      </w:r>
      <w:r>
        <w:t>”.</w:t>
      </w:r>
    </w:p>
    <w:p w:rsidR="005861D1" w:rsidRDefault="003F1D35" w:rsidP="005861D1">
      <w:pPr>
        <w:pStyle w:val="JuHIRoman"/>
      </w:pPr>
      <w:r>
        <w:t>III.  </w:t>
      </w:r>
      <w:r w:rsidR="008B2B7A">
        <w:t xml:space="preserve">RELEVANT </w:t>
      </w:r>
      <w:r w:rsidR="005861D1">
        <w:t>INTERNATIONAL MATERIALS</w:t>
      </w:r>
    </w:p>
    <w:p w:rsidR="005861D1" w:rsidRPr="008B2B7A" w:rsidRDefault="003708D5" w:rsidP="005861D1">
      <w:pPr>
        <w:pStyle w:val="JuPara"/>
        <w:rPr>
          <w:i/>
          <w:lang w:eastAsia="en-US"/>
        </w:rPr>
      </w:pPr>
      <w:r>
        <w:fldChar w:fldCharType="begin"/>
      </w:r>
      <w:r w:rsidR="005C005C">
        <w:instrText xml:space="preserve"> SEQ level0 \*arabic </w:instrText>
      </w:r>
      <w:r>
        <w:fldChar w:fldCharType="separate"/>
      </w:r>
      <w:r w:rsidR="00414CD4">
        <w:rPr>
          <w:noProof/>
        </w:rPr>
        <w:t>20</w:t>
      </w:r>
      <w:r>
        <w:fldChar w:fldCharType="end"/>
      </w:r>
      <w:r w:rsidR="005C005C">
        <w:t>.  </w:t>
      </w:r>
      <w:r w:rsidR="008B2B7A">
        <w:t xml:space="preserve">A description </w:t>
      </w:r>
      <w:r w:rsidR="006C7612">
        <w:t xml:space="preserve">of </w:t>
      </w:r>
      <w:r w:rsidR="008B2B7A">
        <w:t xml:space="preserve">relevant international materials and comparative law can be found in </w:t>
      </w:r>
      <w:r w:rsidR="008B2B7A" w:rsidRPr="008B2B7A">
        <w:rPr>
          <w:i/>
          <w:lang w:val="it-IT" w:eastAsia="en-US"/>
        </w:rPr>
        <w:t xml:space="preserve">Scoppola v. </w:t>
      </w:r>
      <w:smartTag w:uri="urn:schemas-microsoft-com:office:smarttags" w:element="place">
        <w:smartTag w:uri="urn:schemas-microsoft-com:office:smarttags" w:element="country-region">
          <w:r w:rsidR="008B2B7A" w:rsidRPr="008B2B7A">
            <w:rPr>
              <w:i/>
              <w:lang w:val="it-IT" w:eastAsia="en-US"/>
            </w:rPr>
            <w:t>Italy</w:t>
          </w:r>
        </w:smartTag>
      </w:smartTag>
      <w:r w:rsidR="008B2B7A" w:rsidRPr="008B2B7A">
        <w:rPr>
          <w:i/>
          <w:lang w:val="it-IT" w:eastAsia="en-US"/>
        </w:rPr>
        <w:t xml:space="preserve"> (no. 3)</w:t>
      </w:r>
      <w:r w:rsidR="008B2B7A" w:rsidRPr="008B2B7A">
        <w:rPr>
          <w:lang w:val="it-IT" w:eastAsia="en-US"/>
        </w:rPr>
        <w:t xml:space="preserve"> [GC] </w:t>
      </w:r>
      <w:r w:rsidR="008B2B7A">
        <w:rPr>
          <w:lang w:val="it-IT" w:eastAsia="en-US"/>
        </w:rPr>
        <w:t>(</w:t>
      </w:r>
      <w:r w:rsidR="008B2B7A" w:rsidRPr="008B2B7A">
        <w:rPr>
          <w:szCs w:val="22"/>
          <w:lang w:eastAsia="en-US"/>
        </w:rPr>
        <w:t xml:space="preserve">no. </w:t>
      </w:r>
      <w:r w:rsidR="008B2B7A" w:rsidRPr="008B2B7A">
        <w:rPr>
          <w:lang w:val="it-IT" w:eastAsia="en-US"/>
        </w:rPr>
        <w:t>126/05</w:t>
      </w:r>
      <w:r w:rsidR="008B2B7A" w:rsidRPr="008B2B7A">
        <w:rPr>
          <w:snapToGrid w:val="0"/>
          <w:szCs w:val="24"/>
          <w:lang w:val="pt-BR" w:eastAsia="en-US"/>
        </w:rPr>
        <w:t>, §</w:t>
      </w:r>
      <w:r w:rsidR="008B2B7A">
        <w:rPr>
          <w:snapToGrid w:val="0"/>
          <w:szCs w:val="24"/>
          <w:lang w:val="pt-BR" w:eastAsia="en-US"/>
        </w:rPr>
        <w:t>§ 40-60</w:t>
      </w:r>
      <w:r w:rsidR="008B2B7A" w:rsidRPr="008B2B7A">
        <w:rPr>
          <w:snapToGrid w:val="0"/>
          <w:szCs w:val="24"/>
          <w:lang w:val="pt-BR" w:eastAsia="en-US"/>
        </w:rPr>
        <w:t>, 22</w:t>
      </w:r>
      <w:r w:rsidR="00BB4239">
        <w:rPr>
          <w:snapToGrid w:val="0"/>
          <w:szCs w:val="24"/>
          <w:lang w:val="pt-BR" w:eastAsia="en-US"/>
        </w:rPr>
        <w:t> </w:t>
      </w:r>
      <w:r w:rsidR="008B2B7A" w:rsidRPr="008B2B7A">
        <w:rPr>
          <w:snapToGrid w:val="0"/>
          <w:szCs w:val="24"/>
          <w:lang w:val="pt-BR" w:eastAsia="en-US"/>
        </w:rPr>
        <w:t>May 2012</w:t>
      </w:r>
      <w:r w:rsidR="008B2B7A">
        <w:rPr>
          <w:snapToGrid w:val="0"/>
          <w:szCs w:val="24"/>
          <w:lang w:val="pt-BR" w:eastAsia="en-US"/>
        </w:rPr>
        <w:t>).</w:t>
      </w:r>
    </w:p>
    <w:p w:rsidR="00F71A6A" w:rsidRPr="00F00005" w:rsidRDefault="00F71A6A" w:rsidP="008824B9">
      <w:pPr>
        <w:pStyle w:val="JuHHead"/>
      </w:pPr>
      <w:r w:rsidRPr="00F00005">
        <w:t>THE LAW</w:t>
      </w:r>
    </w:p>
    <w:p w:rsidR="00F71A6A" w:rsidRPr="00F00005" w:rsidRDefault="00F71A6A">
      <w:pPr>
        <w:pStyle w:val="JuHIRoman"/>
      </w:pPr>
      <w:r w:rsidRPr="00F00005">
        <w:t>I.  ALLEGED VIOLATION</w:t>
      </w:r>
      <w:r w:rsidR="00336D54">
        <w:t>S</w:t>
      </w:r>
      <w:r w:rsidRPr="00F00005">
        <w:t xml:space="preserve"> OF ARTICLE </w:t>
      </w:r>
      <w:r w:rsidR="00FB5DB4">
        <w:t>3</w:t>
      </w:r>
      <w:r w:rsidRPr="00F00005">
        <w:t xml:space="preserve"> OF </w:t>
      </w:r>
      <w:r w:rsidR="00FB5DB4">
        <w:t>PROTOCOL NO. 1</w:t>
      </w:r>
    </w:p>
    <w:p w:rsidR="00F71A6A"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21</w:t>
      </w:r>
      <w:r w:rsidRPr="00F00005">
        <w:fldChar w:fldCharType="end"/>
      </w:r>
      <w:r w:rsidR="00F71A6A" w:rsidRPr="00F00005">
        <w:t xml:space="preserve">.  The </w:t>
      </w:r>
      <w:r w:rsidR="005F4753" w:rsidRPr="00F00005">
        <w:t>applicant</w:t>
      </w:r>
      <w:r w:rsidR="00BE6957">
        <w:t>argue</w:t>
      </w:r>
      <w:r w:rsidR="00F71A6A" w:rsidRPr="00F00005">
        <w:t xml:space="preserve">d that </w:t>
      </w:r>
      <w:r w:rsidR="001F6582">
        <w:t xml:space="preserve">his </w:t>
      </w:r>
      <w:r w:rsidR="00760492">
        <w:t xml:space="preserve">disenfranchisement </w:t>
      </w:r>
      <w:r w:rsidR="001F6582">
        <w:t xml:space="preserve">breached his rights guaranteed in </w:t>
      </w:r>
      <w:r w:rsidR="00F71A6A" w:rsidRPr="00F00005">
        <w:t xml:space="preserve">Article </w:t>
      </w:r>
      <w:r w:rsidR="001F6582">
        <w:t>3 of Protocol No. 1</w:t>
      </w:r>
      <w:r w:rsidR="00760492">
        <w:t xml:space="preserve"> which provides as follows:</w:t>
      </w:r>
    </w:p>
    <w:p w:rsidR="005B16A8" w:rsidRDefault="001F6582">
      <w:pPr>
        <w:pStyle w:val="JuQuot"/>
      </w:pPr>
      <w:r>
        <w:t>“The High Contracting Parties undertake to hold free elections at reasonable intervals by secret ballot, under conditions which will ensure the free expression of the opinion of the people in the choice of the legislature.”</w:t>
      </w:r>
    </w:p>
    <w:p w:rsidR="00F71A6A" w:rsidRDefault="003708D5" w:rsidP="002F4BCF">
      <w:pPr>
        <w:pStyle w:val="JuPara"/>
      </w:pPr>
      <w:r>
        <w:fldChar w:fldCharType="begin"/>
      </w:r>
      <w:r w:rsidR="00760492">
        <w:instrText xml:space="preserve"> SEQ level0 \*arabic </w:instrText>
      </w:r>
      <w:r>
        <w:fldChar w:fldCharType="separate"/>
      </w:r>
      <w:r w:rsidR="00414CD4">
        <w:rPr>
          <w:noProof/>
        </w:rPr>
        <w:t>22</w:t>
      </w:r>
      <w:r>
        <w:fldChar w:fldCharType="end"/>
      </w:r>
      <w:r w:rsidR="00760492">
        <w:t>.  </w:t>
      </w:r>
      <w:r w:rsidR="00F71A6A" w:rsidRPr="00F00005">
        <w:t>The Government contested th</w:t>
      </w:r>
      <w:r w:rsidR="00336D54">
        <w:t>e</w:t>
      </w:r>
      <w:r w:rsidR="00E316DD">
        <w:t xml:space="preserve"> applicant</w:t>
      </w:r>
      <w:r w:rsidR="00697AAB">
        <w:t>’</w:t>
      </w:r>
      <w:r w:rsidR="00E316DD">
        <w:t>s</w:t>
      </w:r>
      <w:r w:rsidR="00336D54">
        <w:t xml:space="preserve"> arguments.</w:t>
      </w:r>
    </w:p>
    <w:p w:rsidR="00F71A6A" w:rsidRPr="00F00005" w:rsidRDefault="00F71A6A" w:rsidP="008824B9">
      <w:pPr>
        <w:pStyle w:val="JuHA"/>
        <w:outlineLvl w:val="0"/>
      </w:pPr>
      <w:r w:rsidRPr="00F00005">
        <w:t>A.  Admissibility</w:t>
      </w:r>
    </w:p>
    <w:p w:rsidR="00F71A6A" w:rsidRPr="00F00005" w:rsidRDefault="003708D5" w:rsidP="002F4BCF">
      <w:pPr>
        <w:pStyle w:val="JuPara"/>
      </w:pPr>
      <w:r>
        <w:fldChar w:fldCharType="begin"/>
      </w:r>
      <w:r w:rsidR="001F6582">
        <w:instrText xml:space="preserve"> SEQ level0 \*arabic </w:instrText>
      </w:r>
      <w:r>
        <w:fldChar w:fldCharType="separate"/>
      </w:r>
      <w:r w:rsidR="00414CD4">
        <w:rPr>
          <w:noProof/>
        </w:rPr>
        <w:t>23</w:t>
      </w:r>
      <w:r>
        <w:fldChar w:fldCharType="end"/>
      </w:r>
      <w:r w:rsidR="001F6582">
        <w:t>.  </w:t>
      </w:r>
      <w:r w:rsidR="00F71A6A" w:rsidRPr="00F00005">
        <w:t xml:space="preserve">The Court notes that </w:t>
      </w:r>
      <w:r w:rsidR="00D44EA3" w:rsidRPr="00F00005">
        <w:t xml:space="preserve">this complaint </w:t>
      </w:r>
      <w:r w:rsidR="00F71A6A" w:rsidRPr="00F00005">
        <w:t xml:space="preserve">is not manifestly ill-founded within the meaning of Article </w:t>
      </w:r>
      <w:r w:rsidR="00C63E30" w:rsidRPr="00F00005">
        <w:t>35 § 3 (a)</w:t>
      </w:r>
      <w:r w:rsidR="00F71A6A" w:rsidRPr="00F00005">
        <w:t xml:space="preserve"> of the Convention. It further notes that it is not inadmissible on any other grounds. It must therefore be declared admissible.</w:t>
      </w:r>
    </w:p>
    <w:p w:rsidR="00F71A6A" w:rsidRDefault="00F71A6A" w:rsidP="00044FD7">
      <w:pPr>
        <w:pStyle w:val="JuHA"/>
      </w:pPr>
      <w:r w:rsidRPr="00F00005">
        <w:lastRenderedPageBreak/>
        <w:t>B.  Merits</w:t>
      </w:r>
    </w:p>
    <w:p w:rsidR="00F71A6A"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24</w:t>
      </w:r>
      <w:r w:rsidRPr="00F00005">
        <w:fldChar w:fldCharType="end"/>
      </w:r>
      <w:r w:rsidR="00F71A6A" w:rsidRPr="00F00005">
        <w:t xml:space="preserve">.  The </w:t>
      </w:r>
      <w:r w:rsidR="005F4753" w:rsidRPr="00F00005">
        <w:t>applicant</w:t>
      </w:r>
      <w:r w:rsidR="00BE6957">
        <w:t>complaine</w:t>
      </w:r>
      <w:r w:rsidR="00AA0189">
        <w:t xml:space="preserve">d that his disenfranchisement was in breach of </w:t>
      </w:r>
      <w:r w:rsidR="00D32B93">
        <w:t xml:space="preserve">Article 3 of Protocol No. 1. He maintained that he had not only been unable to vote in the general elections held in July 2007 while he was </w:t>
      </w:r>
      <w:r w:rsidR="005D6AB4">
        <w:t xml:space="preserve">being detained </w:t>
      </w:r>
      <w:r w:rsidR="00D32B93">
        <w:t xml:space="preserve">in the prison, but also in the general elections </w:t>
      </w:r>
      <w:r w:rsidR="005D6AB4">
        <w:t xml:space="preserve">of 2011 </w:t>
      </w:r>
      <w:r w:rsidR="00D32B93">
        <w:t xml:space="preserve">held </w:t>
      </w:r>
      <w:r w:rsidR="005D6AB4">
        <w:t>after his conditional release</w:t>
      </w:r>
      <w:r w:rsidR="00BE6957">
        <w:t xml:space="preserve">. The reason for this was </w:t>
      </w:r>
      <w:r w:rsidR="006C7612">
        <w:t>that</w:t>
      </w:r>
      <w:r w:rsidR="00D32B93">
        <w:t xml:space="preserve">, even though he was </w:t>
      </w:r>
      <w:r w:rsidR="009E30D6">
        <w:t xml:space="preserve">conditionally </w:t>
      </w:r>
      <w:r w:rsidR="00D32B93">
        <w:t xml:space="preserve">released from prison on 9 April 2009, the </w:t>
      </w:r>
      <w:r w:rsidR="00BE6957">
        <w:t xml:space="preserve">official </w:t>
      </w:r>
      <w:r w:rsidR="00D32B93">
        <w:t xml:space="preserve">date for the </w:t>
      </w:r>
      <w:r w:rsidR="00BE6957">
        <w:t xml:space="preserve">completion of the </w:t>
      </w:r>
      <w:r w:rsidR="00D32B93">
        <w:t>execution of his sentence was</w:t>
      </w:r>
      <w:r w:rsidR="00EC3D12">
        <w:t xml:space="preserve"> 1 April 2012 (see paragraph </w:t>
      </w:r>
      <w:r w:rsidR="001961C9">
        <w:t>11</w:t>
      </w:r>
      <w:r w:rsidR="009E30D6">
        <w:t xml:space="preserve"> above).</w:t>
      </w:r>
    </w:p>
    <w:p w:rsidR="000972FF" w:rsidRDefault="003708D5" w:rsidP="002F4BCF">
      <w:pPr>
        <w:pStyle w:val="JuPara"/>
      </w:pPr>
      <w:r>
        <w:fldChar w:fldCharType="begin"/>
      </w:r>
      <w:r w:rsidR="00BE6957">
        <w:instrText xml:space="preserve"> SEQ level0 \*arabic </w:instrText>
      </w:r>
      <w:r>
        <w:fldChar w:fldCharType="separate"/>
      </w:r>
      <w:r w:rsidR="00414CD4">
        <w:rPr>
          <w:noProof/>
        </w:rPr>
        <w:t>25</w:t>
      </w:r>
      <w:r>
        <w:fldChar w:fldCharType="end"/>
      </w:r>
      <w:r w:rsidR="00BE6957">
        <w:t xml:space="preserve">.  The applicant </w:t>
      </w:r>
      <w:r w:rsidR="005A49D4">
        <w:t>submitted</w:t>
      </w:r>
      <w:r w:rsidR="00BE6957">
        <w:t xml:space="preserve"> that he had been </w:t>
      </w:r>
      <w:r w:rsidR="005A49D4">
        <w:t xml:space="preserve">a businessman and owned a company at the beginning of </w:t>
      </w:r>
      <w:r w:rsidR="00A86500">
        <w:t xml:space="preserve">the </w:t>
      </w:r>
      <w:r w:rsidR="005A49D4">
        <w:t xml:space="preserve">2000s. He </w:t>
      </w:r>
      <w:r w:rsidR="00DE1835">
        <w:t>had been</w:t>
      </w:r>
      <w:r w:rsidR="005A49D4">
        <w:t xml:space="preserve"> c</w:t>
      </w:r>
      <w:r w:rsidR="00BE6957">
        <w:t xml:space="preserve">onvicted as a result of several unpaid cheques </w:t>
      </w:r>
      <w:r w:rsidR="00A86500">
        <w:t xml:space="preserve">which had been </w:t>
      </w:r>
      <w:r w:rsidR="005A49D4">
        <w:t xml:space="preserve">drawn by him when his business was affected by </w:t>
      </w:r>
      <w:r w:rsidR="00BE6957">
        <w:t xml:space="preserve">the </w:t>
      </w:r>
      <w:r w:rsidR="005A49D4">
        <w:t xml:space="preserve">severe </w:t>
      </w:r>
      <w:r w:rsidR="00BE6957">
        <w:t xml:space="preserve">economic crisis in </w:t>
      </w:r>
      <w:smartTag w:uri="urn:schemas-microsoft-com:office:smarttags" w:element="place">
        <w:smartTag w:uri="urn:schemas-microsoft-com:office:smarttags" w:element="country-region">
          <w:r w:rsidR="00BE6957">
            <w:t>Turkey</w:t>
          </w:r>
        </w:smartTag>
      </w:smartTag>
      <w:r w:rsidR="00892036">
        <w:t xml:space="preserve">which </w:t>
      </w:r>
      <w:r w:rsidR="00A86500">
        <w:t>e</w:t>
      </w:r>
      <w:r w:rsidR="00892036">
        <w:t>ventually</w:t>
      </w:r>
      <w:r w:rsidR="00C52BA1">
        <w:t xml:space="preserve"> bankrupted</w:t>
      </w:r>
      <w:r w:rsidR="00892036">
        <w:t xml:space="preserve"> him</w:t>
      </w:r>
      <w:r w:rsidR="00BE6957">
        <w:t xml:space="preserve">. Thus, the offence committed by him </w:t>
      </w:r>
      <w:r w:rsidR="00A31EDF">
        <w:t>did not</w:t>
      </w:r>
      <w:r w:rsidR="00BE6957">
        <w:t xml:space="preserve"> mean that he was </w:t>
      </w:r>
      <w:r w:rsidR="00A31EDF">
        <w:t xml:space="preserve">so </w:t>
      </w:r>
      <w:r w:rsidR="00BE6957">
        <w:t xml:space="preserve">morally or mentally </w:t>
      </w:r>
      <w:r w:rsidR="005D6AB4">
        <w:t>untrustworthy</w:t>
      </w:r>
      <w:r w:rsidR="00BE6957">
        <w:t xml:space="preserve"> as to </w:t>
      </w:r>
      <w:r w:rsidR="000972FF">
        <w:t xml:space="preserve">be </w:t>
      </w:r>
      <w:r w:rsidR="00BE6957">
        <w:t>prevent</w:t>
      </w:r>
      <w:r w:rsidR="000972FF">
        <w:t>ed</w:t>
      </w:r>
      <w:r w:rsidR="00BE6957">
        <w:t xml:space="preserve"> from exercising his civic duties.</w:t>
      </w:r>
    </w:p>
    <w:p w:rsidR="00112F18" w:rsidRDefault="003708D5" w:rsidP="002F4BCF">
      <w:pPr>
        <w:pStyle w:val="JuPara"/>
      </w:pPr>
      <w:r>
        <w:fldChar w:fldCharType="begin"/>
      </w:r>
      <w:r w:rsidR="00C52BA1">
        <w:instrText xml:space="preserve"> SEQ level0 \*arabic </w:instrText>
      </w:r>
      <w:r>
        <w:fldChar w:fldCharType="separate"/>
      </w:r>
      <w:r w:rsidR="00414CD4">
        <w:rPr>
          <w:noProof/>
        </w:rPr>
        <w:t>26</w:t>
      </w:r>
      <w:r>
        <w:fldChar w:fldCharType="end"/>
      </w:r>
      <w:r w:rsidR="00C52BA1">
        <w:t>.  </w:t>
      </w:r>
      <w:r w:rsidR="003D146C">
        <w:t>T</w:t>
      </w:r>
      <w:r w:rsidR="000972FF">
        <w:t xml:space="preserve">he applicant </w:t>
      </w:r>
      <w:r w:rsidR="003D146C">
        <w:t>considered that</w:t>
      </w:r>
      <w:r w:rsidR="000972FF">
        <w:t xml:space="preserve"> the national legislation </w:t>
      </w:r>
      <w:r w:rsidR="003D146C">
        <w:t xml:space="preserve">on disenfranchisement </w:t>
      </w:r>
      <w:r w:rsidR="000972FF">
        <w:t>did not take into account the nature of the offence or the severity of the punishment. As such, it was wholly disproportionate in its application.</w:t>
      </w:r>
      <w:r w:rsidR="00892036">
        <w:t xml:space="preserve"> The only criterion taken into account when imposing the ban was the element of “intention" in the commission of the offence.</w:t>
      </w:r>
    </w:p>
    <w:p w:rsidR="005736A4" w:rsidRDefault="003708D5" w:rsidP="002F4BCF">
      <w:pPr>
        <w:pStyle w:val="JuPara"/>
        <w:rPr>
          <w:szCs w:val="24"/>
          <w:lang w:eastAsia="en-US"/>
        </w:rPr>
      </w:pPr>
      <w:r>
        <w:fldChar w:fldCharType="begin"/>
      </w:r>
      <w:r w:rsidR="00892036">
        <w:instrText xml:space="preserve"> SEQ level0 \*arabic </w:instrText>
      </w:r>
      <w:r>
        <w:fldChar w:fldCharType="separate"/>
      </w:r>
      <w:r w:rsidR="00414CD4">
        <w:rPr>
          <w:noProof/>
        </w:rPr>
        <w:t>27</w:t>
      </w:r>
      <w:r>
        <w:fldChar w:fldCharType="end"/>
      </w:r>
      <w:r w:rsidR="00892036">
        <w:t>.  </w:t>
      </w:r>
      <w:r w:rsidR="00C52BA1">
        <w:t xml:space="preserve">Referring to the judgment in the case of </w:t>
      </w:r>
      <w:r w:rsidR="00C52BA1" w:rsidRPr="00C52BA1">
        <w:rPr>
          <w:i/>
          <w:szCs w:val="24"/>
          <w:lang w:eastAsia="en-US"/>
        </w:rPr>
        <w:t>Hirst (no. 2)</w:t>
      </w:r>
      <w:r w:rsidR="00C52BA1" w:rsidRPr="00C52BA1">
        <w:rPr>
          <w:szCs w:val="24"/>
          <w:lang w:eastAsia="en-US"/>
        </w:rPr>
        <w:t xml:space="preserve"> [GC] </w:t>
      </w:r>
      <w:r w:rsidR="00BC4081">
        <w:rPr>
          <w:szCs w:val="24"/>
          <w:lang w:eastAsia="en-US"/>
        </w:rPr>
        <w:t>(cited above</w:t>
      </w:r>
      <w:r w:rsidR="00C52BA1" w:rsidRPr="00C52BA1">
        <w:rPr>
          <w:szCs w:val="24"/>
          <w:lang w:eastAsia="en-US"/>
        </w:rPr>
        <w:t>, §</w:t>
      </w:r>
      <w:r w:rsidR="00BC4081">
        <w:rPr>
          <w:szCs w:val="24"/>
          <w:lang w:eastAsia="en-US"/>
        </w:rPr>
        <w:t>§ 71 and 82)</w:t>
      </w:r>
      <w:r w:rsidR="003D146C">
        <w:rPr>
          <w:szCs w:val="24"/>
          <w:lang w:eastAsia="en-US"/>
        </w:rPr>
        <w:t>,</w:t>
      </w:r>
      <w:r w:rsidR="00BC4081">
        <w:rPr>
          <w:szCs w:val="24"/>
          <w:lang w:eastAsia="en-US"/>
        </w:rPr>
        <w:t xml:space="preserve"> the applicant argued that</w:t>
      </w:r>
      <w:r w:rsidR="0084366F">
        <w:rPr>
          <w:szCs w:val="24"/>
          <w:lang w:eastAsia="en-US"/>
        </w:rPr>
        <w:t xml:space="preserve"> he had been the victim of an automatic ban. Referring to the statistics issued by the Ministry of Justice, the applicant a</w:t>
      </w:r>
      <w:r w:rsidR="00A86500">
        <w:rPr>
          <w:szCs w:val="24"/>
          <w:lang w:eastAsia="en-US"/>
        </w:rPr>
        <w:t>dded</w:t>
      </w:r>
      <w:r w:rsidR="0084366F">
        <w:rPr>
          <w:szCs w:val="24"/>
          <w:lang w:eastAsia="en-US"/>
        </w:rPr>
        <w:t xml:space="preserve"> that</w:t>
      </w:r>
      <w:r w:rsidR="005736A4">
        <w:rPr>
          <w:szCs w:val="24"/>
          <w:lang w:eastAsia="en-US"/>
        </w:rPr>
        <w:t>the blanket ban on voting did not reflect the principles of today</w:t>
      </w:r>
      <w:r w:rsidR="00697AAB">
        <w:rPr>
          <w:szCs w:val="24"/>
          <w:lang w:eastAsia="en-US"/>
        </w:rPr>
        <w:t>’</w:t>
      </w:r>
      <w:r w:rsidR="005736A4">
        <w:rPr>
          <w:szCs w:val="24"/>
          <w:lang w:eastAsia="en-US"/>
        </w:rPr>
        <w:t>s democratic society</w:t>
      </w:r>
      <w:r w:rsidR="00A86500">
        <w:rPr>
          <w:szCs w:val="24"/>
          <w:lang w:eastAsia="en-US"/>
        </w:rPr>
        <w:t>,</w:t>
      </w:r>
      <w:r w:rsidR="005736A4">
        <w:rPr>
          <w:szCs w:val="24"/>
          <w:lang w:eastAsia="en-US"/>
        </w:rPr>
        <w:t xml:space="preserve"> and affected </w:t>
      </w:r>
      <w:r w:rsidR="0084366F">
        <w:rPr>
          <w:szCs w:val="24"/>
          <w:lang w:eastAsia="en-US"/>
        </w:rPr>
        <w:t xml:space="preserve">a great proportion of the 80,448 convicted inmates in prisons in </w:t>
      </w:r>
      <w:smartTag w:uri="urn:schemas-microsoft-com:office:smarttags" w:element="place">
        <w:smartTag w:uri="urn:schemas-microsoft-com:office:smarttags" w:element="country-region">
          <w:r w:rsidR="0084366F">
            <w:rPr>
              <w:szCs w:val="24"/>
              <w:lang w:eastAsia="en-US"/>
            </w:rPr>
            <w:t>Turkey</w:t>
          </w:r>
        </w:smartTag>
      </w:smartTag>
      <w:r w:rsidR="00845ABD">
        <w:rPr>
          <w:szCs w:val="24"/>
          <w:lang w:eastAsia="en-US"/>
        </w:rPr>
        <w:t>(November 2010 figures)</w:t>
      </w:r>
      <w:r w:rsidR="005736A4">
        <w:rPr>
          <w:szCs w:val="24"/>
          <w:lang w:eastAsia="en-US"/>
        </w:rPr>
        <w:t>.</w:t>
      </w:r>
    </w:p>
    <w:p w:rsidR="008E05A3" w:rsidRDefault="003708D5" w:rsidP="003C57E7">
      <w:pPr>
        <w:pStyle w:val="JuPara"/>
        <w:rPr>
          <w:rStyle w:val="sb8d990e2"/>
        </w:rPr>
      </w:pPr>
      <w:r w:rsidRPr="00F00005">
        <w:fldChar w:fldCharType="begin"/>
      </w:r>
      <w:r w:rsidR="00F00005" w:rsidRPr="00F00005">
        <w:instrText xml:space="preserve"> SEQ level0 \*arabic </w:instrText>
      </w:r>
      <w:r w:rsidRPr="00F00005">
        <w:fldChar w:fldCharType="separate"/>
      </w:r>
      <w:r w:rsidR="00414CD4">
        <w:rPr>
          <w:noProof/>
        </w:rPr>
        <w:t>28</w:t>
      </w:r>
      <w:r w:rsidRPr="00F00005">
        <w:fldChar w:fldCharType="end"/>
      </w:r>
      <w:r w:rsidR="008E05A3" w:rsidRPr="00F00005">
        <w:t xml:space="preserve">.  The Government </w:t>
      </w:r>
      <w:r w:rsidR="00DA7F59">
        <w:t xml:space="preserve">acknowledged that Article 3 of Protocol No. 1 </w:t>
      </w:r>
      <w:r w:rsidR="00DA7F59">
        <w:rPr>
          <w:rStyle w:val="sb8d990e2"/>
        </w:rPr>
        <w:t>guarantee</w:t>
      </w:r>
      <w:r w:rsidR="003D146C">
        <w:rPr>
          <w:rStyle w:val="sb8d990e2"/>
        </w:rPr>
        <w:t>d</w:t>
      </w:r>
      <w:r w:rsidR="00DA7F59">
        <w:rPr>
          <w:rStyle w:val="sb8d990e2"/>
        </w:rPr>
        <w:t xml:space="preserve"> individual rights, including the right to vote and to stand for </w:t>
      </w:r>
      <w:r w:rsidR="00DA7F59" w:rsidRPr="003C57E7">
        <w:rPr>
          <w:rStyle w:val="sb8d990e2"/>
        </w:rPr>
        <w:t>election</w:t>
      </w:r>
      <w:r w:rsidR="003D146C">
        <w:rPr>
          <w:rStyle w:val="sb8d990e2"/>
        </w:rPr>
        <w:t>,</w:t>
      </w:r>
      <w:r w:rsidR="00DA7F59">
        <w:rPr>
          <w:rStyle w:val="sb8d990e2"/>
        </w:rPr>
        <w:t xml:space="preserve"> and that the applicant</w:t>
      </w:r>
      <w:r w:rsidR="00697AAB">
        <w:rPr>
          <w:rStyle w:val="sb8d990e2"/>
        </w:rPr>
        <w:t>’</w:t>
      </w:r>
      <w:r w:rsidR="00DA7F59">
        <w:rPr>
          <w:rStyle w:val="sb8d990e2"/>
        </w:rPr>
        <w:t xml:space="preserve">s right to vote </w:t>
      </w:r>
      <w:r w:rsidR="003D146C">
        <w:rPr>
          <w:rStyle w:val="sb8d990e2"/>
        </w:rPr>
        <w:t>had been</w:t>
      </w:r>
      <w:r w:rsidR="00DA7F59">
        <w:rPr>
          <w:rStyle w:val="sb8d990e2"/>
        </w:rPr>
        <w:t xml:space="preserve"> restricted in the present case.</w:t>
      </w:r>
    </w:p>
    <w:p w:rsidR="00152143" w:rsidRDefault="003708D5" w:rsidP="002F4BCF">
      <w:pPr>
        <w:pStyle w:val="JuPara"/>
        <w:rPr>
          <w:rStyle w:val="sb8d990e2"/>
        </w:rPr>
      </w:pPr>
      <w:r>
        <w:rPr>
          <w:rStyle w:val="sb8d990e2"/>
        </w:rPr>
        <w:fldChar w:fldCharType="begin"/>
      </w:r>
      <w:r w:rsidR="00DA7F59">
        <w:rPr>
          <w:rStyle w:val="sb8d990e2"/>
        </w:rPr>
        <w:instrText xml:space="preserve"> SEQ level0 \*arabic </w:instrText>
      </w:r>
      <w:r>
        <w:rPr>
          <w:rStyle w:val="sb8d990e2"/>
        </w:rPr>
        <w:fldChar w:fldCharType="separate"/>
      </w:r>
      <w:r w:rsidR="00414CD4">
        <w:rPr>
          <w:rStyle w:val="sb8d990e2"/>
          <w:noProof/>
        </w:rPr>
        <w:t>29</w:t>
      </w:r>
      <w:r>
        <w:rPr>
          <w:rStyle w:val="sb8d990e2"/>
        </w:rPr>
        <w:fldChar w:fldCharType="end"/>
      </w:r>
      <w:r w:rsidR="00DA7F59">
        <w:rPr>
          <w:rStyle w:val="sb8d990e2"/>
        </w:rPr>
        <w:t xml:space="preserve">.  The Government referred to the </w:t>
      </w:r>
      <w:r w:rsidR="00780692">
        <w:rPr>
          <w:rStyle w:val="sb8d990e2"/>
        </w:rPr>
        <w:t xml:space="preserve">Explanatory Report of the Criminal Code where the rationale behind </w:t>
      </w:r>
      <w:r w:rsidR="00DA7F59">
        <w:rPr>
          <w:rStyle w:val="sb8d990e2"/>
        </w:rPr>
        <w:t xml:space="preserve">section 53 of the Criminal Code </w:t>
      </w:r>
      <w:r w:rsidR="00780692">
        <w:rPr>
          <w:rStyle w:val="sb8d990e2"/>
        </w:rPr>
        <w:t xml:space="preserve">is set out </w:t>
      </w:r>
      <w:r w:rsidR="00DA7F59">
        <w:rPr>
          <w:rStyle w:val="sb8d990e2"/>
        </w:rPr>
        <w:t xml:space="preserve">(see </w:t>
      </w:r>
      <w:r w:rsidR="00152143">
        <w:rPr>
          <w:szCs w:val="24"/>
          <w:lang w:eastAsia="en-US"/>
        </w:rPr>
        <w:t>§</w:t>
      </w:r>
      <w:r w:rsidR="004C2695">
        <w:rPr>
          <w:szCs w:val="24"/>
          <w:lang w:eastAsia="en-US"/>
        </w:rPr>
        <w:t xml:space="preserve"> 17</w:t>
      </w:r>
      <w:r w:rsidR="00152143">
        <w:rPr>
          <w:szCs w:val="24"/>
          <w:lang w:eastAsia="en-US"/>
        </w:rPr>
        <w:t xml:space="preserve"> above in “</w:t>
      </w:r>
      <w:r w:rsidR="00A31EDF">
        <w:rPr>
          <w:szCs w:val="24"/>
          <w:lang w:eastAsia="en-US"/>
        </w:rPr>
        <w:t xml:space="preserve">Relevant </w:t>
      </w:r>
      <w:r w:rsidR="00DA7F59">
        <w:rPr>
          <w:rStyle w:val="sb8d990e2"/>
        </w:rPr>
        <w:t>Domestic Law and Practice</w:t>
      </w:r>
      <w:r w:rsidR="00152143">
        <w:rPr>
          <w:rStyle w:val="sb8d990e2"/>
        </w:rPr>
        <w:t>”)</w:t>
      </w:r>
      <w:r w:rsidR="003D146C">
        <w:rPr>
          <w:rStyle w:val="sb8d990e2"/>
        </w:rPr>
        <w:t>,</w:t>
      </w:r>
      <w:r w:rsidR="00152143">
        <w:rPr>
          <w:rStyle w:val="sb8d990e2"/>
        </w:rPr>
        <w:t xml:space="preserve"> and submitted that the legitimate aim </w:t>
      </w:r>
      <w:r w:rsidR="006C7612">
        <w:rPr>
          <w:rStyle w:val="sb8d990e2"/>
        </w:rPr>
        <w:t>o</w:t>
      </w:r>
      <w:r w:rsidR="00152143">
        <w:rPr>
          <w:rStyle w:val="sb8d990e2"/>
        </w:rPr>
        <w:t xml:space="preserve">fthe restriction was </w:t>
      </w:r>
      <w:r w:rsidR="00B47D6C">
        <w:rPr>
          <w:rStyle w:val="sb8d990e2"/>
        </w:rPr>
        <w:t>t</w:t>
      </w:r>
      <w:r w:rsidR="00152143">
        <w:rPr>
          <w:rStyle w:val="sb8d990e2"/>
        </w:rPr>
        <w:t xml:space="preserve">he </w:t>
      </w:r>
      <w:r w:rsidR="00B47D6C">
        <w:rPr>
          <w:rStyle w:val="sb8d990e2"/>
        </w:rPr>
        <w:t>applicant</w:t>
      </w:r>
      <w:r w:rsidR="00697AAB">
        <w:rPr>
          <w:rStyle w:val="sb8d990e2"/>
        </w:rPr>
        <w:t>’</w:t>
      </w:r>
      <w:r w:rsidR="00B47D6C">
        <w:rPr>
          <w:rStyle w:val="sb8d990e2"/>
        </w:rPr>
        <w:t xml:space="preserve">s </w:t>
      </w:r>
      <w:r w:rsidR="00152143">
        <w:rPr>
          <w:rStyle w:val="sb8d990e2"/>
        </w:rPr>
        <w:t xml:space="preserve">rehabilitation. They maintained that the restriction on the right to vote in </w:t>
      </w:r>
      <w:smartTag w:uri="urn:schemas-microsoft-com:office:smarttags" w:element="place">
        <w:smartTag w:uri="urn:schemas-microsoft-com:office:smarttags" w:element="country-region">
          <w:r w:rsidR="00152143">
            <w:rPr>
              <w:rStyle w:val="sb8d990e2"/>
            </w:rPr>
            <w:t>Turkey</w:t>
          </w:r>
        </w:smartTag>
      </w:smartTag>
      <w:r w:rsidR="00152143">
        <w:rPr>
          <w:rStyle w:val="sb8d990e2"/>
        </w:rPr>
        <w:t xml:space="preserve"> was not a </w:t>
      </w:r>
      <w:r w:rsidR="00697AAB">
        <w:rPr>
          <w:rStyle w:val="sb8d990e2"/>
        </w:rPr>
        <w:t>‘</w:t>
      </w:r>
      <w:r w:rsidR="00152143">
        <w:rPr>
          <w:rStyle w:val="sb8d990e2"/>
        </w:rPr>
        <w:t>blanket ban</w:t>
      </w:r>
      <w:r w:rsidR="00697AAB">
        <w:rPr>
          <w:rStyle w:val="sb8d990e2"/>
        </w:rPr>
        <w:t>’</w:t>
      </w:r>
      <w:r w:rsidR="00152143">
        <w:rPr>
          <w:rStyle w:val="sb8d990e2"/>
        </w:rPr>
        <w:t xml:space="preserve"> because the applicable legislation limited the scope of the restriction in accordance with the nature of the offence. Referring to the judgment in the case of </w:t>
      </w:r>
      <w:r w:rsidR="00152143" w:rsidRPr="00C52BA1">
        <w:rPr>
          <w:i/>
          <w:szCs w:val="24"/>
          <w:lang w:eastAsia="en-US"/>
        </w:rPr>
        <w:t>Hirst (no. 2)</w:t>
      </w:r>
      <w:r w:rsidR="00152143" w:rsidRPr="00C52BA1">
        <w:rPr>
          <w:szCs w:val="24"/>
          <w:lang w:eastAsia="en-US"/>
        </w:rPr>
        <w:t xml:space="preserve"> [GC] </w:t>
      </w:r>
      <w:r w:rsidR="00152143">
        <w:rPr>
          <w:szCs w:val="24"/>
          <w:lang w:eastAsia="en-US"/>
        </w:rPr>
        <w:t>(cited above)</w:t>
      </w:r>
      <w:r w:rsidR="006C7612">
        <w:rPr>
          <w:szCs w:val="24"/>
          <w:lang w:eastAsia="en-US"/>
        </w:rPr>
        <w:t>,</w:t>
      </w:r>
      <w:r w:rsidR="00152143">
        <w:rPr>
          <w:szCs w:val="24"/>
          <w:lang w:eastAsia="en-US"/>
        </w:rPr>
        <w:t xml:space="preserve"> the Government argued that,</w:t>
      </w:r>
      <w:r w:rsidR="00152143">
        <w:rPr>
          <w:rStyle w:val="sb8d990e2"/>
        </w:rPr>
        <w:t xml:space="preserve"> unlike the situation in the United Kingdom, the Turkish legislation restricting the right to vote was only applicable to persons who</w:t>
      </w:r>
      <w:r w:rsidR="00A31EDF">
        <w:rPr>
          <w:rStyle w:val="sb8d990e2"/>
        </w:rPr>
        <w:t xml:space="preserve"> has committed offences </w:t>
      </w:r>
      <w:r w:rsidR="00152143">
        <w:rPr>
          <w:rStyle w:val="sb8d990e2"/>
        </w:rPr>
        <w:t>intentionally.</w:t>
      </w:r>
      <w:r w:rsidR="00CA67FC">
        <w:rPr>
          <w:rStyle w:val="sb8d990e2"/>
        </w:rPr>
        <w:t xml:space="preserve"> In the </w:t>
      </w:r>
      <w:smartTag w:uri="urn:schemas-microsoft-com:office:smarttags" w:element="place">
        <w:smartTag w:uri="urn:schemas-microsoft-com:office:smarttags" w:element="country-region">
          <w:r w:rsidR="00CA67FC">
            <w:rPr>
              <w:rStyle w:val="sb8d990e2"/>
            </w:rPr>
            <w:t>United Kingdom</w:t>
          </w:r>
        </w:smartTag>
      </w:smartTag>
      <w:r w:rsidR="00CA67FC">
        <w:rPr>
          <w:rStyle w:val="sb8d990e2"/>
        </w:rPr>
        <w:t xml:space="preserve"> the legislation was applicable to all convicted prisoners </w:t>
      </w:r>
      <w:r w:rsidR="00EF1827">
        <w:rPr>
          <w:rStyle w:val="sb8d990e2"/>
        </w:rPr>
        <w:t xml:space="preserve">detained </w:t>
      </w:r>
      <w:r w:rsidR="00CA67FC">
        <w:rPr>
          <w:rStyle w:val="sb8d990e2"/>
        </w:rPr>
        <w:t>in prison</w:t>
      </w:r>
      <w:r w:rsidR="00EF1827">
        <w:rPr>
          <w:rStyle w:val="sb8d990e2"/>
        </w:rPr>
        <w:t>s</w:t>
      </w:r>
      <w:r w:rsidR="00CA67FC">
        <w:rPr>
          <w:rStyle w:val="sb8d990e2"/>
        </w:rPr>
        <w:t xml:space="preserve">, irrespective of </w:t>
      </w:r>
      <w:r w:rsidR="00CA67FC">
        <w:rPr>
          <w:rStyle w:val="sb8d990e2"/>
        </w:rPr>
        <w:lastRenderedPageBreak/>
        <w:t>the length of their sentence</w:t>
      </w:r>
      <w:r w:rsidR="00EF1827">
        <w:rPr>
          <w:rStyle w:val="sb8d990e2"/>
        </w:rPr>
        <w:t>,</w:t>
      </w:r>
      <w:r w:rsidR="006C7612">
        <w:rPr>
          <w:rStyle w:val="sb8d990e2"/>
        </w:rPr>
        <w:t xml:space="preserve">the </w:t>
      </w:r>
      <w:r w:rsidR="00CA67FC">
        <w:rPr>
          <w:rStyle w:val="sb8d990e2"/>
        </w:rPr>
        <w:t>nature or gravity of the offence, and their individual circumstances.</w:t>
      </w:r>
    </w:p>
    <w:p w:rsidR="00CA67FC" w:rsidRDefault="003708D5" w:rsidP="002F4BCF">
      <w:pPr>
        <w:pStyle w:val="JuPara"/>
        <w:rPr>
          <w:rStyle w:val="sb8d990e2"/>
        </w:rPr>
      </w:pPr>
      <w:r>
        <w:rPr>
          <w:rStyle w:val="sb8d990e2"/>
        </w:rPr>
        <w:fldChar w:fldCharType="begin"/>
      </w:r>
      <w:r w:rsidR="00CA67FC">
        <w:rPr>
          <w:rStyle w:val="sb8d990e2"/>
        </w:rPr>
        <w:instrText xml:space="preserve"> SEQ level0 \*arabic </w:instrText>
      </w:r>
      <w:r>
        <w:rPr>
          <w:rStyle w:val="sb8d990e2"/>
        </w:rPr>
        <w:fldChar w:fldCharType="separate"/>
      </w:r>
      <w:r w:rsidR="00414CD4">
        <w:rPr>
          <w:rStyle w:val="sb8d990e2"/>
          <w:noProof/>
        </w:rPr>
        <w:t>30</w:t>
      </w:r>
      <w:r>
        <w:rPr>
          <w:rStyle w:val="sb8d990e2"/>
        </w:rPr>
        <w:fldChar w:fldCharType="end"/>
      </w:r>
      <w:r w:rsidR="00CA67FC">
        <w:rPr>
          <w:rStyle w:val="sb8d990e2"/>
        </w:rPr>
        <w:t xml:space="preserve">.  In </w:t>
      </w:r>
      <w:smartTag w:uri="urn:schemas-microsoft-com:office:smarttags" w:element="place">
        <w:smartTag w:uri="urn:schemas-microsoft-com:office:smarttags" w:element="country-region">
          <w:r w:rsidR="00CA67FC">
            <w:rPr>
              <w:rStyle w:val="sb8d990e2"/>
            </w:rPr>
            <w:t>Turkey</w:t>
          </w:r>
        </w:smartTag>
      </w:smartTag>
      <w:r w:rsidR="003F09F8">
        <w:rPr>
          <w:rStyle w:val="sb8d990e2"/>
        </w:rPr>
        <w:t xml:space="preserve">the </w:t>
      </w:r>
      <w:r w:rsidR="006C7612">
        <w:rPr>
          <w:rStyle w:val="sb8d990e2"/>
        </w:rPr>
        <w:t>c</w:t>
      </w:r>
      <w:r w:rsidR="00EF1827">
        <w:rPr>
          <w:rStyle w:val="sb8d990e2"/>
        </w:rPr>
        <w:t xml:space="preserve">onstitutional </w:t>
      </w:r>
      <w:r w:rsidR="00E74C3D">
        <w:rPr>
          <w:rStyle w:val="sb8d990e2"/>
        </w:rPr>
        <w:t>provisions concerning the issue of prisoner</w:t>
      </w:r>
      <w:r w:rsidR="006C7612">
        <w:rPr>
          <w:rStyle w:val="sb8d990e2"/>
        </w:rPr>
        <w:t>s</w:t>
      </w:r>
      <w:r w:rsidR="00697AAB">
        <w:rPr>
          <w:rStyle w:val="sb8d990e2"/>
        </w:rPr>
        <w:t>’</w:t>
      </w:r>
      <w:r w:rsidR="00E74C3D">
        <w:rPr>
          <w:rStyle w:val="sb8d990e2"/>
        </w:rPr>
        <w:t xml:space="preserve"> voting</w:t>
      </w:r>
      <w:r w:rsidR="00CA67FC">
        <w:rPr>
          <w:rStyle w:val="sb8d990e2"/>
        </w:rPr>
        <w:t xml:space="preserve"> had undergone </w:t>
      </w:r>
      <w:r w:rsidR="00E74C3D">
        <w:rPr>
          <w:rStyle w:val="sb8d990e2"/>
        </w:rPr>
        <w:t>two</w:t>
      </w:r>
      <w:r w:rsidR="00CA67FC">
        <w:rPr>
          <w:rStyle w:val="sb8d990e2"/>
        </w:rPr>
        <w:t xml:space="preserve"> amendments in 1995 and 2001</w:t>
      </w:r>
      <w:r w:rsidR="00867132">
        <w:rPr>
          <w:rStyle w:val="sb8d990e2"/>
        </w:rPr>
        <w:t xml:space="preserve">.In 1995 the Constitution </w:t>
      </w:r>
      <w:r w:rsidR="00E74C3D">
        <w:rPr>
          <w:rStyle w:val="sb8d990e2"/>
        </w:rPr>
        <w:t>had been</w:t>
      </w:r>
      <w:r w:rsidR="00867132">
        <w:rPr>
          <w:rStyle w:val="sb8d990e2"/>
        </w:rPr>
        <w:t xml:space="preserve"> amended to exclude remand prisoners from the scope of the restriction because </w:t>
      </w:r>
      <w:r w:rsidR="00EF1827">
        <w:rPr>
          <w:rStyle w:val="sb8d990e2"/>
        </w:rPr>
        <w:t xml:space="preserve">disenfranchising a person detained in prison pending the outcome of the criminal proceedings against him </w:t>
      </w:r>
      <w:r w:rsidR="00867132">
        <w:rPr>
          <w:rStyle w:val="sb8d990e2"/>
        </w:rPr>
        <w:t>was considered incompatible with the principle of presumption of</w:t>
      </w:r>
      <w:r w:rsidR="00EF1827">
        <w:rPr>
          <w:rStyle w:val="sb8d990e2"/>
        </w:rPr>
        <w:t xml:space="preserve"> innocence</w:t>
      </w:r>
      <w:r w:rsidR="00867132">
        <w:rPr>
          <w:rStyle w:val="sb8d990e2"/>
        </w:rPr>
        <w:t xml:space="preserve">. In </w:t>
      </w:r>
      <w:r w:rsidR="00E74C3D">
        <w:rPr>
          <w:rStyle w:val="sb8d990e2"/>
        </w:rPr>
        <w:t xml:space="preserve">the </w:t>
      </w:r>
      <w:r w:rsidR="00867132">
        <w:rPr>
          <w:rStyle w:val="sb8d990e2"/>
        </w:rPr>
        <w:t xml:space="preserve">2001 </w:t>
      </w:r>
      <w:r w:rsidR="00E74C3D">
        <w:rPr>
          <w:rStyle w:val="sb8d990e2"/>
        </w:rPr>
        <w:t>amendment</w:t>
      </w:r>
      <w:r w:rsidR="00EF1827">
        <w:rPr>
          <w:rStyle w:val="sb8d990e2"/>
        </w:rPr>
        <w:t>,</w:t>
      </w:r>
      <w:r w:rsidR="00E74C3D">
        <w:rPr>
          <w:rStyle w:val="sb8d990e2"/>
        </w:rPr>
        <w:t xml:space="preserve"> persons convicted of offences committed involuntarily had been excluded from the restrictions on voting. </w:t>
      </w:r>
      <w:r w:rsidR="00867132">
        <w:rPr>
          <w:rStyle w:val="sb8d990e2"/>
        </w:rPr>
        <w:t>As</w:t>
      </w:r>
      <w:r w:rsidR="00D804B7">
        <w:rPr>
          <w:rStyle w:val="sb8d990e2"/>
        </w:rPr>
        <w:t xml:space="preserve"> it stood today, </w:t>
      </w:r>
      <w:r w:rsidR="00E74C3D">
        <w:rPr>
          <w:rStyle w:val="sb8d990e2"/>
        </w:rPr>
        <w:t>the national legislation</w:t>
      </w:r>
      <w:r w:rsidR="00D804B7">
        <w:rPr>
          <w:rStyle w:val="sb8d990e2"/>
        </w:rPr>
        <w:t xml:space="preserve"> was applicable only in respect of offences committed intentionally. In the opinion of the Government, the offences committed intentionally were “stronger” in nature as they include</w:t>
      </w:r>
      <w:r w:rsidR="00867132">
        <w:rPr>
          <w:rStyle w:val="sb8d990e2"/>
        </w:rPr>
        <w:t>d</w:t>
      </w:r>
      <w:r w:rsidR="00D804B7">
        <w:rPr>
          <w:rStyle w:val="sb8d990e2"/>
        </w:rPr>
        <w:t xml:space="preserve"> the element of “intention”.</w:t>
      </w:r>
    </w:p>
    <w:p w:rsidR="002D3B88" w:rsidRPr="00C73307" w:rsidRDefault="003708D5" w:rsidP="002F4BCF">
      <w:pPr>
        <w:pStyle w:val="JuPara"/>
        <w:rPr>
          <w:rStyle w:val="sb8d990e2"/>
          <w:i/>
          <w:lang w:eastAsia="en-US"/>
        </w:rPr>
      </w:pPr>
      <w:r>
        <w:rPr>
          <w:rStyle w:val="sb8d990e2"/>
        </w:rPr>
        <w:fldChar w:fldCharType="begin"/>
      </w:r>
      <w:r w:rsidR="002D3B88">
        <w:rPr>
          <w:rStyle w:val="sb8d990e2"/>
        </w:rPr>
        <w:instrText xml:space="preserve"> SEQ level0 \*arabic </w:instrText>
      </w:r>
      <w:r>
        <w:rPr>
          <w:rStyle w:val="sb8d990e2"/>
        </w:rPr>
        <w:fldChar w:fldCharType="separate"/>
      </w:r>
      <w:r w:rsidR="00414CD4">
        <w:rPr>
          <w:rStyle w:val="sb8d990e2"/>
          <w:noProof/>
        </w:rPr>
        <w:t>31</w:t>
      </w:r>
      <w:r>
        <w:rPr>
          <w:rStyle w:val="sb8d990e2"/>
        </w:rPr>
        <w:fldChar w:fldCharType="end"/>
      </w:r>
      <w:r w:rsidR="002D3B88">
        <w:rPr>
          <w:rStyle w:val="sb8d990e2"/>
        </w:rPr>
        <w:t xml:space="preserve">.  The Court </w:t>
      </w:r>
      <w:r w:rsidR="000D5B01">
        <w:rPr>
          <w:rStyle w:val="sb8d990e2"/>
        </w:rPr>
        <w:t xml:space="preserve">notes </w:t>
      </w:r>
      <w:r w:rsidR="002D3B88">
        <w:rPr>
          <w:rStyle w:val="sb8d990e2"/>
        </w:rPr>
        <w:t xml:space="preserve">that the general principles applicable in the present case </w:t>
      </w:r>
      <w:r w:rsidR="00FF5378">
        <w:rPr>
          <w:rStyle w:val="sb8d990e2"/>
        </w:rPr>
        <w:t>can</w:t>
      </w:r>
      <w:r w:rsidR="002D3B88">
        <w:rPr>
          <w:rStyle w:val="sb8d990e2"/>
        </w:rPr>
        <w:t xml:space="preserve"> be found in </w:t>
      </w:r>
      <w:r w:rsidR="008F4D5E" w:rsidRPr="008F4D5E">
        <w:rPr>
          <w:i/>
          <w:lang w:eastAsia="en-US"/>
        </w:rPr>
        <w:t>Mathieu-Mohin and Clerfayt v. Belgium</w:t>
      </w:r>
      <w:r w:rsidR="006C7612">
        <w:rPr>
          <w:lang w:eastAsia="en-US"/>
        </w:rPr>
        <w:t>(</w:t>
      </w:r>
      <w:r w:rsidR="008F4D5E" w:rsidRPr="008F4D5E">
        <w:rPr>
          <w:lang w:eastAsia="en-US"/>
        </w:rPr>
        <w:t>2</w:t>
      </w:r>
      <w:r w:rsidR="00BB4239">
        <w:rPr>
          <w:lang w:eastAsia="en-US"/>
        </w:rPr>
        <w:t> </w:t>
      </w:r>
      <w:r w:rsidR="008F4D5E" w:rsidRPr="008F4D5E">
        <w:rPr>
          <w:lang w:eastAsia="en-US"/>
        </w:rPr>
        <w:t xml:space="preserve">March 1987, § </w:t>
      </w:r>
      <w:r w:rsidR="008F4D5E">
        <w:rPr>
          <w:lang w:eastAsia="en-US"/>
        </w:rPr>
        <w:t>46-5</w:t>
      </w:r>
      <w:r w:rsidR="00BE3EF8">
        <w:rPr>
          <w:lang w:eastAsia="en-US"/>
        </w:rPr>
        <w:t>4</w:t>
      </w:r>
      <w:r w:rsidR="008F4D5E" w:rsidRPr="008F4D5E">
        <w:rPr>
          <w:lang w:eastAsia="en-US"/>
        </w:rPr>
        <w:t>, Series A no. 113</w:t>
      </w:r>
      <w:r w:rsidR="00EC3D12">
        <w:rPr>
          <w:lang w:eastAsia="en-US"/>
        </w:rPr>
        <w:t>);</w:t>
      </w:r>
      <w:r w:rsidR="002D3B88" w:rsidRPr="00C52BA1">
        <w:rPr>
          <w:i/>
          <w:szCs w:val="24"/>
          <w:lang w:eastAsia="en-US"/>
        </w:rPr>
        <w:t>Hirst (no. 2)</w:t>
      </w:r>
      <w:r w:rsidR="006C7612">
        <w:rPr>
          <w:szCs w:val="24"/>
          <w:lang w:eastAsia="en-US"/>
        </w:rPr>
        <w:t>(</w:t>
      </w:r>
      <w:r w:rsidR="002D3B88" w:rsidRPr="00C52BA1">
        <w:rPr>
          <w:szCs w:val="24"/>
          <w:lang w:eastAsia="en-US"/>
        </w:rPr>
        <w:t>[GC]</w:t>
      </w:r>
      <w:r w:rsidR="00B42730">
        <w:rPr>
          <w:szCs w:val="24"/>
          <w:lang w:eastAsia="en-US"/>
        </w:rPr>
        <w:t>,</w:t>
      </w:r>
      <w:r w:rsidR="002D3B88">
        <w:rPr>
          <w:szCs w:val="24"/>
          <w:lang w:eastAsia="en-US"/>
        </w:rPr>
        <w:t>cited above, §§ 56-71</w:t>
      </w:r>
      <w:r w:rsidR="008F4D5E">
        <w:rPr>
          <w:szCs w:val="24"/>
          <w:lang w:eastAsia="en-US"/>
        </w:rPr>
        <w:t xml:space="preserve">, </w:t>
      </w:r>
      <w:r w:rsidR="00827219">
        <w:rPr>
          <w:szCs w:val="24"/>
          <w:lang w:eastAsia="en-US"/>
        </w:rPr>
        <w:t>74-</w:t>
      </w:r>
      <w:r w:rsidR="008F4D5E">
        <w:rPr>
          <w:szCs w:val="24"/>
          <w:lang w:eastAsia="en-US"/>
        </w:rPr>
        <w:t>77</w:t>
      </w:r>
      <w:r w:rsidR="002D3B88">
        <w:rPr>
          <w:szCs w:val="24"/>
          <w:lang w:eastAsia="en-US"/>
        </w:rPr>
        <w:t xml:space="preserve"> and 82</w:t>
      </w:r>
      <w:r w:rsidR="00EC3D12">
        <w:rPr>
          <w:szCs w:val="24"/>
          <w:lang w:eastAsia="en-US"/>
        </w:rPr>
        <w:t>);</w:t>
      </w:r>
      <w:r w:rsidR="00FF5378" w:rsidRPr="00FF5378">
        <w:rPr>
          <w:i/>
          <w:lang w:eastAsia="en-US"/>
        </w:rPr>
        <w:t xml:space="preserve">Frodl v. </w:t>
      </w:r>
      <w:smartTag w:uri="urn:schemas-microsoft-com:office:smarttags" w:element="place">
        <w:smartTag w:uri="urn:schemas-microsoft-com:office:smarttags" w:element="country-region">
          <w:r w:rsidR="00FF5378" w:rsidRPr="00FF5378">
            <w:rPr>
              <w:i/>
              <w:lang w:eastAsia="en-US"/>
            </w:rPr>
            <w:t>Austria</w:t>
          </w:r>
        </w:smartTag>
      </w:smartTag>
      <w:r w:rsidR="006C7612">
        <w:rPr>
          <w:lang w:eastAsia="en-US"/>
        </w:rPr>
        <w:t>(</w:t>
      </w:r>
      <w:r w:rsidR="00FF5378" w:rsidRPr="00FF5378">
        <w:rPr>
          <w:lang w:eastAsia="en-US"/>
        </w:rPr>
        <w:t>no. 20201/04</w:t>
      </w:r>
      <w:r w:rsidR="00FF5378" w:rsidRPr="00FF5378">
        <w:rPr>
          <w:snapToGrid w:val="0"/>
          <w:lang w:eastAsia="en-US"/>
        </w:rPr>
        <w:t>, §</w:t>
      </w:r>
      <w:r w:rsidR="00FF5378">
        <w:rPr>
          <w:snapToGrid w:val="0"/>
          <w:lang w:eastAsia="en-US"/>
        </w:rPr>
        <w:t>§28 and 3</w:t>
      </w:r>
      <w:r w:rsidR="00AD57AD">
        <w:rPr>
          <w:snapToGrid w:val="0"/>
          <w:lang w:eastAsia="en-US"/>
        </w:rPr>
        <w:t>3</w:t>
      </w:r>
      <w:r w:rsidR="00FF5378">
        <w:rPr>
          <w:snapToGrid w:val="0"/>
          <w:lang w:eastAsia="en-US"/>
        </w:rPr>
        <w:t>-35</w:t>
      </w:r>
      <w:r w:rsidR="00FF5378" w:rsidRPr="00FF5378">
        <w:rPr>
          <w:snapToGrid w:val="0"/>
          <w:lang w:eastAsia="en-US"/>
        </w:rPr>
        <w:t>, 8</w:t>
      </w:r>
      <w:r w:rsidR="00BB4239">
        <w:rPr>
          <w:snapToGrid w:val="0"/>
          <w:lang w:eastAsia="en-US"/>
        </w:rPr>
        <w:t> </w:t>
      </w:r>
      <w:r w:rsidR="00FF5378" w:rsidRPr="00FF5378">
        <w:rPr>
          <w:snapToGrid w:val="0"/>
          <w:lang w:eastAsia="en-US"/>
        </w:rPr>
        <w:t>April 2010</w:t>
      </w:r>
      <w:r w:rsidR="006C7612">
        <w:rPr>
          <w:snapToGrid w:val="0"/>
          <w:lang w:eastAsia="en-US"/>
        </w:rPr>
        <w:t>)</w:t>
      </w:r>
      <w:r w:rsidR="00EC3D12">
        <w:rPr>
          <w:snapToGrid w:val="0"/>
          <w:lang w:eastAsia="en-US"/>
        </w:rPr>
        <w:t>,</w:t>
      </w:r>
      <w:r w:rsidR="006C7612">
        <w:rPr>
          <w:snapToGrid w:val="0"/>
          <w:lang w:eastAsia="en-US"/>
        </w:rPr>
        <w:t xml:space="preserve"> and</w:t>
      </w:r>
      <w:r w:rsidR="00FF5378" w:rsidRPr="00FF5378">
        <w:rPr>
          <w:i/>
          <w:lang w:val="it-IT" w:eastAsia="en-US"/>
        </w:rPr>
        <w:t xml:space="preserve">Scoppola v. </w:t>
      </w:r>
      <w:smartTag w:uri="urn:schemas-microsoft-com:office:smarttags" w:element="place">
        <w:smartTag w:uri="urn:schemas-microsoft-com:office:smarttags" w:element="country-region">
          <w:r w:rsidR="00FF5378" w:rsidRPr="00FF5378">
            <w:rPr>
              <w:i/>
              <w:lang w:val="it-IT" w:eastAsia="en-US"/>
            </w:rPr>
            <w:t>Italy</w:t>
          </w:r>
        </w:smartTag>
      </w:smartTag>
      <w:r w:rsidR="00FF5378" w:rsidRPr="00FF5378">
        <w:rPr>
          <w:i/>
          <w:lang w:val="it-IT" w:eastAsia="en-US"/>
        </w:rPr>
        <w:t xml:space="preserve"> (no. 3)</w:t>
      </w:r>
      <w:r w:rsidR="006C7612">
        <w:rPr>
          <w:lang w:val="it-IT" w:eastAsia="en-US"/>
        </w:rPr>
        <w:t>(</w:t>
      </w:r>
      <w:r w:rsidR="00FF5378" w:rsidRPr="00FF5378">
        <w:rPr>
          <w:lang w:val="it-IT" w:eastAsia="en-US"/>
        </w:rPr>
        <w:t>[GC</w:t>
      </w:r>
      <w:r w:rsidR="00FF5378" w:rsidRPr="00931750">
        <w:rPr>
          <w:lang w:eastAsia="en-US"/>
        </w:rPr>
        <w:t xml:space="preserve">], </w:t>
      </w:r>
      <w:r w:rsidR="00931750" w:rsidRPr="00931750">
        <w:rPr>
          <w:lang w:eastAsia="en-US"/>
        </w:rPr>
        <w:t>cited above</w:t>
      </w:r>
      <w:r w:rsidR="00FF5378" w:rsidRPr="00FF5378">
        <w:rPr>
          <w:snapToGrid w:val="0"/>
          <w:szCs w:val="24"/>
          <w:lang w:val="pt-BR" w:eastAsia="en-US"/>
        </w:rPr>
        <w:t>, §</w:t>
      </w:r>
      <w:r w:rsidR="00C73307">
        <w:rPr>
          <w:snapToGrid w:val="0"/>
          <w:szCs w:val="24"/>
          <w:lang w:val="pt-BR" w:eastAsia="en-US"/>
        </w:rPr>
        <w:t>§ 82-84, 96,</w:t>
      </w:r>
      <w:r w:rsidR="0050174F">
        <w:rPr>
          <w:snapToGrid w:val="0"/>
          <w:szCs w:val="24"/>
          <w:lang w:val="pt-BR" w:eastAsia="en-US"/>
        </w:rPr>
        <w:t xml:space="preserve"> 99</w:t>
      </w:r>
      <w:r w:rsidR="00B42730">
        <w:rPr>
          <w:snapToGrid w:val="0"/>
          <w:szCs w:val="24"/>
          <w:lang w:val="pt-BR" w:eastAsia="en-US"/>
        </w:rPr>
        <w:t xml:space="preserve"> and</w:t>
      </w:r>
      <w:r w:rsidR="00C73307">
        <w:rPr>
          <w:snapToGrid w:val="0"/>
          <w:szCs w:val="24"/>
          <w:lang w:val="pt-BR" w:eastAsia="en-US"/>
        </w:rPr>
        <w:t xml:space="preserve"> 101-102</w:t>
      </w:r>
      <w:r w:rsidR="006C7612">
        <w:rPr>
          <w:snapToGrid w:val="0"/>
          <w:szCs w:val="24"/>
          <w:lang w:val="pt-BR" w:eastAsia="en-US"/>
        </w:rPr>
        <w:t>)</w:t>
      </w:r>
      <w:r w:rsidR="00C73307" w:rsidRPr="00C73307">
        <w:rPr>
          <w:snapToGrid w:val="0"/>
          <w:szCs w:val="24"/>
          <w:lang w:eastAsia="en-US"/>
        </w:rPr>
        <w:t xml:space="preserve">. The Court will examine the </w:t>
      </w:r>
      <w:r w:rsidR="00C73307">
        <w:rPr>
          <w:snapToGrid w:val="0"/>
          <w:szCs w:val="24"/>
          <w:lang w:eastAsia="en-US"/>
        </w:rPr>
        <w:t>applicant</w:t>
      </w:r>
      <w:r w:rsidR="00697AAB">
        <w:rPr>
          <w:snapToGrid w:val="0"/>
          <w:szCs w:val="24"/>
          <w:lang w:eastAsia="en-US"/>
        </w:rPr>
        <w:t>’</w:t>
      </w:r>
      <w:r w:rsidR="00C73307">
        <w:rPr>
          <w:snapToGrid w:val="0"/>
          <w:szCs w:val="24"/>
          <w:lang w:eastAsia="en-US"/>
        </w:rPr>
        <w:t xml:space="preserve">s complaints </w:t>
      </w:r>
      <w:r w:rsidR="006C7612">
        <w:rPr>
          <w:snapToGrid w:val="0"/>
          <w:szCs w:val="24"/>
          <w:lang w:eastAsia="en-US"/>
        </w:rPr>
        <w:t>in the</w:t>
      </w:r>
      <w:r w:rsidR="006C7612">
        <w:rPr>
          <w:rStyle w:val="sb8d990e2"/>
        </w:rPr>
        <w:t>light</w:t>
      </w:r>
      <w:r w:rsidR="00C73307">
        <w:rPr>
          <w:rStyle w:val="sb8d990e2"/>
        </w:rPr>
        <w:t xml:space="preserve"> o</w:t>
      </w:r>
      <w:r w:rsidR="006C7612">
        <w:rPr>
          <w:rStyle w:val="sb8d990e2"/>
        </w:rPr>
        <w:t>f</w:t>
      </w:r>
      <w:r w:rsidR="00C73307">
        <w:rPr>
          <w:rStyle w:val="sb8d990e2"/>
        </w:rPr>
        <w:t xml:space="preserve"> the principles identified </w:t>
      </w:r>
      <w:r w:rsidR="00EF1827">
        <w:rPr>
          <w:rStyle w:val="sb8d990e2"/>
        </w:rPr>
        <w:t>in those judgments</w:t>
      </w:r>
      <w:r w:rsidR="00C73307">
        <w:rPr>
          <w:rStyle w:val="sb8d990e2"/>
        </w:rPr>
        <w:t>.</w:t>
      </w:r>
    </w:p>
    <w:p w:rsidR="00DB3149" w:rsidRDefault="003708D5" w:rsidP="00DB3149">
      <w:pPr>
        <w:pStyle w:val="JuPara"/>
      </w:pPr>
      <w:r w:rsidRPr="00C73307">
        <w:fldChar w:fldCharType="begin"/>
      </w:r>
      <w:r w:rsidR="00D804B7" w:rsidRPr="00C73307">
        <w:instrText xml:space="preserve"> SEQ level0 \*arabic </w:instrText>
      </w:r>
      <w:r w:rsidRPr="00C73307">
        <w:fldChar w:fldCharType="separate"/>
      </w:r>
      <w:r w:rsidR="00414CD4">
        <w:rPr>
          <w:noProof/>
        </w:rPr>
        <w:t>32</w:t>
      </w:r>
      <w:r w:rsidRPr="00C73307">
        <w:fldChar w:fldCharType="end"/>
      </w:r>
      <w:r w:rsidR="00D804B7" w:rsidRPr="00C73307">
        <w:t>.  </w:t>
      </w:r>
      <w:r w:rsidR="00F71A6A" w:rsidRPr="00C73307">
        <w:t xml:space="preserve">The Court </w:t>
      </w:r>
      <w:r w:rsidR="009F0FEA" w:rsidRPr="00C73307">
        <w:t xml:space="preserve">observes </w:t>
      </w:r>
      <w:r w:rsidR="00C73307">
        <w:t xml:space="preserve">at the outset </w:t>
      </w:r>
      <w:r w:rsidR="009F0FEA" w:rsidRPr="00C73307">
        <w:t xml:space="preserve">that the applicant, who </w:t>
      </w:r>
      <w:r w:rsidR="00931750">
        <w:t>had been</w:t>
      </w:r>
      <w:r w:rsidR="009F0FEA" w:rsidRPr="00C73307">
        <w:t xml:space="preserve"> sentenced to a prison term of four years, eleven months and twenty-six days, </w:t>
      </w:r>
      <w:r w:rsidR="00EF1827">
        <w:t>began</w:t>
      </w:r>
      <w:r w:rsidR="00C73307">
        <w:t xml:space="preserve"> serv</w:t>
      </w:r>
      <w:r w:rsidR="00EF1827">
        <w:t>ing</w:t>
      </w:r>
      <w:r w:rsidR="00C73307">
        <w:t xml:space="preserve"> his sentence on 11 April 2007 (see paragraph </w:t>
      </w:r>
      <w:r w:rsidR="001961C9">
        <w:t>6</w:t>
      </w:r>
      <w:r w:rsidR="00C73307">
        <w:t xml:space="preserve"> above). In accordance with the applicable legislation, h</w:t>
      </w:r>
      <w:r w:rsidR="00C84F16">
        <w:t>is</w:t>
      </w:r>
      <w:r w:rsidR="009F0FEA" w:rsidRPr="00C73307">
        <w:t xml:space="preserve"> disenfranchise</w:t>
      </w:r>
      <w:r w:rsidR="00C84F16">
        <w:t>ment</w:t>
      </w:r>
      <w:r w:rsidR="006C7612">
        <w:t xml:space="preserve">did </w:t>
      </w:r>
      <w:r w:rsidR="00EA5A61">
        <w:t xml:space="preserve">not </w:t>
      </w:r>
      <w:r w:rsidR="006C7612">
        <w:t xml:space="preserve">end </w:t>
      </w:r>
      <w:r w:rsidR="00EA5A61">
        <w:t xml:space="preserve">when he was </w:t>
      </w:r>
      <w:r w:rsidR="000D1F0C">
        <w:t xml:space="preserve">conditionally </w:t>
      </w:r>
      <w:r w:rsidR="00EA5A61">
        <w:t xml:space="preserve">released </w:t>
      </w:r>
      <w:r w:rsidR="000D1F0C">
        <w:t xml:space="preserve">from prison </w:t>
      </w:r>
      <w:r w:rsidR="00FF22B3" w:rsidRPr="00C73307">
        <w:t>on 9 April 200</w:t>
      </w:r>
      <w:r w:rsidR="0072146E">
        <w:t>9</w:t>
      </w:r>
      <w:r w:rsidR="001234C3" w:rsidRPr="00C73307">
        <w:t xml:space="preserve">, but </w:t>
      </w:r>
      <w:r w:rsidR="00CC6812">
        <w:t>continued until</w:t>
      </w:r>
      <w:r w:rsidR="00EA5A61">
        <w:t xml:space="preserve"> the initiallyforeseen </w:t>
      </w:r>
      <w:r w:rsidR="000D1F0C">
        <w:t>date of release</w:t>
      </w:r>
      <w:r w:rsidR="00CC6812">
        <w:t xml:space="preserve">on 1 April 2012 </w:t>
      </w:r>
      <w:r w:rsidR="00520DB2" w:rsidRPr="00C73307">
        <w:t>(see paragraph</w:t>
      </w:r>
      <w:r w:rsidR="00931750">
        <w:t>s</w:t>
      </w:r>
      <w:r w:rsidR="001961C9">
        <w:t xml:space="preserve">11, 14 </w:t>
      </w:r>
      <w:r w:rsidR="00931750">
        <w:t xml:space="preserve">and </w:t>
      </w:r>
      <w:r w:rsidR="001961C9">
        <w:t>19</w:t>
      </w:r>
      <w:r w:rsidR="00520DB2" w:rsidRPr="00C73307">
        <w:t xml:space="preserve"> above).</w:t>
      </w:r>
      <w:r w:rsidR="00EA5A61">
        <w:t>Between 11 April 2007 and 1 April</w:t>
      </w:r>
      <w:r w:rsidR="00BE78F0">
        <w:t> </w:t>
      </w:r>
      <w:r w:rsidR="00EA5A61">
        <w:t>2012</w:t>
      </w:r>
      <w:r w:rsidR="001234C3">
        <w:t xml:space="preserve"> two general elections were held and </w:t>
      </w:r>
      <w:r w:rsidR="00DB3149">
        <w:t>t</w:t>
      </w:r>
      <w:r w:rsidR="001234C3">
        <w:t xml:space="preserve">he </w:t>
      </w:r>
      <w:r w:rsidR="00DB3149">
        <w:t xml:space="preserve">applicant </w:t>
      </w:r>
      <w:r w:rsidR="001234C3">
        <w:t xml:space="preserve">was </w:t>
      </w:r>
      <w:r w:rsidR="00EC3D12">
        <w:t>un</w:t>
      </w:r>
      <w:r w:rsidR="001234C3">
        <w:t>able to vote in either of them.</w:t>
      </w:r>
      <w:r w:rsidR="007A11E4">
        <w:t xml:space="preserve"> H</w:t>
      </w:r>
      <w:r w:rsidR="000D1F0C">
        <w:t xml:space="preserve">aving thus established that the applicant </w:t>
      </w:r>
      <w:r w:rsidR="006C7612">
        <w:t>was</w:t>
      </w:r>
      <w:r w:rsidR="007A11E4">
        <w:t xml:space="preserve"> directly affected by the </w:t>
      </w:r>
      <w:r w:rsidR="00DB3149">
        <w:t xml:space="preserve">measure foreseen in the </w:t>
      </w:r>
      <w:r w:rsidR="000D1F0C">
        <w:t>national legislation which prevented him from voting on two o</w:t>
      </w:r>
      <w:r w:rsidR="007A11E4">
        <w:t>ccasions</w:t>
      </w:r>
      <w:r w:rsidR="000D1F0C">
        <w:t>,t</w:t>
      </w:r>
      <w:r w:rsidR="00DB3149">
        <w:rPr>
          <w:rStyle w:val="sb8d990e2"/>
        </w:rPr>
        <w:t xml:space="preserve">he Court will </w:t>
      </w:r>
      <w:r w:rsidR="00CC6812">
        <w:rPr>
          <w:rStyle w:val="sb8d990e2"/>
        </w:rPr>
        <w:t>proceed</w:t>
      </w:r>
      <w:r w:rsidR="000D1F0C">
        <w:rPr>
          <w:rStyle w:val="sb8d990e2"/>
        </w:rPr>
        <w:t xml:space="preserve"> to examine</w:t>
      </w:r>
      <w:r w:rsidR="00DB3149">
        <w:rPr>
          <w:rStyle w:val="sb8d990e2"/>
        </w:rPr>
        <w:t xml:space="preserve"> whether the measure in question pursued a legitimate aim </w:t>
      </w:r>
      <w:r w:rsidR="006C7612">
        <w:rPr>
          <w:rStyle w:val="sb8d990e2"/>
        </w:rPr>
        <w:t xml:space="preserve">and did so </w:t>
      </w:r>
      <w:r w:rsidR="00DB3149">
        <w:rPr>
          <w:rStyle w:val="sb8d990e2"/>
        </w:rPr>
        <w:t>in a proportionate manner.</w:t>
      </w:r>
    </w:p>
    <w:p w:rsidR="00352FB4" w:rsidRDefault="003708D5" w:rsidP="00CC6812">
      <w:pPr>
        <w:pStyle w:val="JuPara"/>
        <w:rPr>
          <w:rStyle w:val="sb8d990e2"/>
        </w:rPr>
      </w:pPr>
      <w:r>
        <w:rPr>
          <w:szCs w:val="24"/>
          <w:lang w:eastAsia="en-US"/>
        </w:rPr>
        <w:fldChar w:fldCharType="begin"/>
      </w:r>
      <w:r w:rsidR="00992679">
        <w:rPr>
          <w:szCs w:val="24"/>
          <w:lang w:eastAsia="en-US"/>
        </w:rPr>
        <w:instrText xml:space="preserve"> SEQ level0 \*arabic </w:instrText>
      </w:r>
      <w:r>
        <w:rPr>
          <w:szCs w:val="24"/>
          <w:lang w:eastAsia="en-US"/>
        </w:rPr>
        <w:fldChar w:fldCharType="separate"/>
      </w:r>
      <w:r w:rsidR="00414CD4">
        <w:rPr>
          <w:noProof/>
          <w:szCs w:val="24"/>
          <w:lang w:eastAsia="en-US"/>
        </w:rPr>
        <w:t>33</w:t>
      </w:r>
      <w:r>
        <w:rPr>
          <w:szCs w:val="24"/>
          <w:lang w:eastAsia="en-US"/>
        </w:rPr>
        <w:fldChar w:fldCharType="end"/>
      </w:r>
      <w:r w:rsidR="00992679">
        <w:rPr>
          <w:szCs w:val="24"/>
          <w:lang w:eastAsia="en-US"/>
        </w:rPr>
        <w:t>.  </w:t>
      </w:r>
      <w:r w:rsidR="0066270D">
        <w:rPr>
          <w:szCs w:val="24"/>
          <w:lang w:eastAsia="en-US"/>
        </w:rPr>
        <w:t>According to the Court</w:t>
      </w:r>
      <w:r w:rsidR="00697AAB">
        <w:rPr>
          <w:szCs w:val="24"/>
          <w:lang w:eastAsia="en-US"/>
        </w:rPr>
        <w:t>’</w:t>
      </w:r>
      <w:r w:rsidR="0066270D">
        <w:rPr>
          <w:szCs w:val="24"/>
          <w:lang w:eastAsia="en-US"/>
        </w:rPr>
        <w:t>s established case-law</w:t>
      </w:r>
      <w:r w:rsidR="00EA5A61">
        <w:rPr>
          <w:szCs w:val="24"/>
          <w:lang w:eastAsia="en-US"/>
        </w:rPr>
        <w:t xml:space="preserve"> referred to above</w:t>
      </w:r>
      <w:r w:rsidR="0066270D">
        <w:rPr>
          <w:szCs w:val="24"/>
          <w:lang w:eastAsia="en-US"/>
        </w:rPr>
        <w:t xml:space="preserve">, </w:t>
      </w:r>
      <w:r w:rsidR="0066270D">
        <w:rPr>
          <w:rStyle w:val="sb8d990e2"/>
        </w:rPr>
        <w:t>the rights enshrined in Article 3 of Protocol No. 1 are not absolute. There is room for implied limitations and the Contracting States must be afforded a wide margin of appreciation in this sphere.</w:t>
      </w:r>
      <w:r w:rsidR="006678E7">
        <w:rPr>
          <w:rStyle w:val="sb8d990e2"/>
        </w:rPr>
        <w:t xml:space="preserve"> There are numerous ways of organising and running electoral systems and a wealth of differences, </w:t>
      </w:r>
      <w:r w:rsidR="006678E7" w:rsidRPr="000D5B01">
        <w:rPr>
          <w:rStyle w:val="s6b621b36"/>
          <w:i/>
        </w:rPr>
        <w:t>inter alia</w:t>
      </w:r>
      <w:r w:rsidR="006678E7">
        <w:rPr>
          <w:rStyle w:val="sb8d990e2"/>
        </w:rPr>
        <w:t>, in historical development, cultural diversity and political thought within Europe which it is for each Contracting State to mould into its own democratic vision</w:t>
      </w:r>
      <w:r w:rsidR="00352FB4">
        <w:rPr>
          <w:rStyle w:val="sb8d990e2"/>
        </w:rPr>
        <w:t xml:space="preserve"> (see </w:t>
      </w:r>
      <w:r w:rsidR="00352FB4" w:rsidRPr="00352FB4">
        <w:rPr>
          <w:rStyle w:val="sb8d990e2"/>
          <w:i/>
        </w:rPr>
        <w:t>Scoppola</w:t>
      </w:r>
      <w:r w:rsidR="00352FB4" w:rsidRPr="00FF5378">
        <w:rPr>
          <w:i/>
          <w:lang w:val="it-IT" w:eastAsia="en-US"/>
        </w:rPr>
        <w:t>(no. 3)</w:t>
      </w:r>
      <w:r w:rsidR="00352FB4" w:rsidRPr="00FF5378">
        <w:rPr>
          <w:lang w:val="it-IT" w:eastAsia="en-US"/>
        </w:rPr>
        <w:t xml:space="preserve"> [GC</w:t>
      </w:r>
      <w:r w:rsidR="00352FB4">
        <w:rPr>
          <w:lang w:val="it-IT" w:eastAsia="en-US"/>
        </w:rPr>
        <w:t xml:space="preserve">], cited above, </w:t>
      </w:r>
      <w:r w:rsidR="00352FB4">
        <w:rPr>
          <w:szCs w:val="24"/>
          <w:lang w:eastAsia="en-US"/>
        </w:rPr>
        <w:t>§ 83 and the cases cited therein).</w:t>
      </w:r>
    </w:p>
    <w:p w:rsidR="0066270D" w:rsidRDefault="003708D5" w:rsidP="002F4BCF">
      <w:pPr>
        <w:pStyle w:val="JuPara"/>
        <w:rPr>
          <w:rStyle w:val="sb8d990e2"/>
        </w:rPr>
      </w:pPr>
      <w:r>
        <w:rPr>
          <w:rStyle w:val="sb8d990e2"/>
        </w:rPr>
        <w:lastRenderedPageBreak/>
        <w:fldChar w:fldCharType="begin"/>
      </w:r>
      <w:r w:rsidR="00352FB4">
        <w:rPr>
          <w:rStyle w:val="sb8d990e2"/>
        </w:rPr>
        <w:instrText xml:space="preserve"> SEQ level0 \*arabic </w:instrText>
      </w:r>
      <w:r>
        <w:rPr>
          <w:rStyle w:val="sb8d990e2"/>
        </w:rPr>
        <w:fldChar w:fldCharType="separate"/>
      </w:r>
      <w:r w:rsidR="00414CD4">
        <w:rPr>
          <w:rStyle w:val="sb8d990e2"/>
          <w:noProof/>
        </w:rPr>
        <w:t>34</w:t>
      </w:r>
      <w:r>
        <w:rPr>
          <w:rStyle w:val="sb8d990e2"/>
        </w:rPr>
        <w:fldChar w:fldCharType="end"/>
      </w:r>
      <w:r w:rsidR="00352FB4">
        <w:rPr>
          <w:rStyle w:val="sb8d990e2"/>
        </w:rPr>
        <w:t>.  However, it is for the Court to determine in the last resort whether the requirements of Article 3 of Protocol No. 1 have been complied with; it has to satisfy itself that the conditions do not curtail the rights in question to such an extent as to impair their very essence and deprive them of their effectiveness; that they are imposed in pursuit of a legitimate aim; and that the means employed are not disproportionate. In particular, any conditions imposed must not thwart the free expression of the people in the choice of the legislature – in other words, they must reflect, or not run counter to, the concern to maintain the integrity and effectiveness of an electoral procedure aimed at identifying the will of the people through universal suffrage. Any departure from the principle of universal suffrage risks undermining the democratic validity of the legislature thus elected and the laws it promulgates. Exclusion of any groups or categories of the general population must accordingly be reconcilable with the underlying purposes of Article 3 of Protocol No. 1 (</w:t>
      </w:r>
      <w:r w:rsidR="00352FB4">
        <w:rPr>
          <w:rStyle w:val="sb8d990e2"/>
          <w:i/>
        </w:rPr>
        <w:t>ibid.</w:t>
      </w:r>
      <w:r w:rsidR="00352FB4">
        <w:rPr>
          <w:szCs w:val="24"/>
          <w:lang w:eastAsia="en-US"/>
        </w:rPr>
        <w:t>§ 84</w:t>
      </w:r>
      <w:r w:rsidR="00433055">
        <w:rPr>
          <w:szCs w:val="24"/>
          <w:lang w:eastAsia="en-US"/>
        </w:rPr>
        <w:t xml:space="preserve"> and the cases cited therein</w:t>
      </w:r>
      <w:r w:rsidR="00352FB4">
        <w:rPr>
          <w:szCs w:val="24"/>
          <w:lang w:eastAsia="en-US"/>
        </w:rPr>
        <w:t>)</w:t>
      </w:r>
      <w:r w:rsidR="00352FB4">
        <w:rPr>
          <w:rStyle w:val="sb8d990e2"/>
        </w:rPr>
        <w:t>.</w:t>
      </w:r>
    </w:p>
    <w:p w:rsidR="00433055" w:rsidRDefault="003708D5" w:rsidP="002F4BCF">
      <w:pPr>
        <w:pStyle w:val="JuPara"/>
        <w:rPr>
          <w:rStyle w:val="sb8d990e2"/>
        </w:rPr>
      </w:pPr>
      <w:r>
        <w:rPr>
          <w:rStyle w:val="sb8d990e2"/>
        </w:rPr>
        <w:fldChar w:fldCharType="begin"/>
      </w:r>
      <w:r w:rsidR="00433055">
        <w:rPr>
          <w:rStyle w:val="sb8d990e2"/>
        </w:rPr>
        <w:instrText xml:space="preserve"> SEQ level0 \*arabic </w:instrText>
      </w:r>
      <w:r>
        <w:rPr>
          <w:rStyle w:val="sb8d990e2"/>
        </w:rPr>
        <w:fldChar w:fldCharType="separate"/>
      </w:r>
      <w:r w:rsidR="00414CD4">
        <w:rPr>
          <w:rStyle w:val="sb8d990e2"/>
          <w:noProof/>
        </w:rPr>
        <w:t>35</w:t>
      </w:r>
      <w:r>
        <w:rPr>
          <w:rStyle w:val="sb8d990e2"/>
        </w:rPr>
        <w:fldChar w:fldCharType="end"/>
      </w:r>
      <w:r w:rsidR="00433055">
        <w:rPr>
          <w:rStyle w:val="sb8d990e2"/>
        </w:rPr>
        <w:t>.  </w:t>
      </w:r>
      <w:r w:rsidR="00EA5A61">
        <w:rPr>
          <w:rStyle w:val="sb8d990e2"/>
        </w:rPr>
        <w:t xml:space="preserve">Furthermore, an indiscriminate restriction applicable automatically to prisoners, irrespective of the length of their sentence and irrespective of the nature or gravity of their offence and their individual circumstances, must be seen as falling outside any acceptable margin of appreciation, however wide that margin might be, and as being incompatible with </w:t>
      </w:r>
      <w:r w:rsidR="00EA5A61" w:rsidRPr="009338DF">
        <w:t>Article</w:t>
      </w:r>
      <w:r w:rsidR="009338DF">
        <w:t> </w:t>
      </w:r>
      <w:r w:rsidR="00EA5A61" w:rsidRPr="009338DF">
        <w:t>3</w:t>
      </w:r>
      <w:r w:rsidR="00EA5A61">
        <w:rPr>
          <w:rStyle w:val="sb8d990e2"/>
        </w:rPr>
        <w:t xml:space="preserve"> of Protocol No. 1</w:t>
      </w:r>
      <w:r w:rsidR="00FF23D4">
        <w:rPr>
          <w:rStyle w:val="sb8d990e2"/>
        </w:rPr>
        <w:t>(</w:t>
      </w:r>
      <w:r w:rsidR="00FF23D4" w:rsidRPr="00C52BA1">
        <w:rPr>
          <w:i/>
          <w:szCs w:val="24"/>
          <w:lang w:eastAsia="en-US"/>
        </w:rPr>
        <w:t>Hirst (no. 2)</w:t>
      </w:r>
      <w:r w:rsidR="00FF23D4" w:rsidRPr="00C52BA1">
        <w:rPr>
          <w:szCs w:val="24"/>
          <w:lang w:eastAsia="en-US"/>
        </w:rPr>
        <w:t xml:space="preserve"> [GC]</w:t>
      </w:r>
      <w:r w:rsidR="00B42730">
        <w:rPr>
          <w:szCs w:val="24"/>
          <w:lang w:eastAsia="en-US"/>
        </w:rPr>
        <w:t xml:space="preserve">, </w:t>
      </w:r>
      <w:r w:rsidR="00FF23D4">
        <w:rPr>
          <w:szCs w:val="24"/>
          <w:lang w:eastAsia="en-US"/>
        </w:rPr>
        <w:t>cited above, §82)</w:t>
      </w:r>
      <w:r w:rsidR="00EA5A61">
        <w:rPr>
          <w:rStyle w:val="sb8d990e2"/>
        </w:rPr>
        <w:t>.</w:t>
      </w:r>
    </w:p>
    <w:p w:rsidR="00E11633" w:rsidRDefault="003708D5" w:rsidP="00FF23D4">
      <w:pPr>
        <w:pStyle w:val="JuPara"/>
        <w:rPr>
          <w:szCs w:val="24"/>
          <w:lang w:eastAsia="en-US"/>
        </w:rPr>
      </w:pPr>
      <w:r>
        <w:rPr>
          <w:szCs w:val="24"/>
          <w:lang w:eastAsia="en-US"/>
        </w:rPr>
        <w:fldChar w:fldCharType="begin"/>
      </w:r>
      <w:r w:rsidR="00FF23D4">
        <w:rPr>
          <w:szCs w:val="24"/>
          <w:lang w:eastAsia="en-US"/>
        </w:rPr>
        <w:instrText xml:space="preserve"> SEQ level0 \*arabic </w:instrText>
      </w:r>
      <w:r>
        <w:rPr>
          <w:szCs w:val="24"/>
          <w:lang w:eastAsia="en-US"/>
        </w:rPr>
        <w:fldChar w:fldCharType="separate"/>
      </w:r>
      <w:r w:rsidR="00414CD4">
        <w:rPr>
          <w:noProof/>
          <w:szCs w:val="24"/>
          <w:lang w:eastAsia="en-US"/>
        </w:rPr>
        <w:t>36</w:t>
      </w:r>
      <w:r>
        <w:rPr>
          <w:szCs w:val="24"/>
          <w:lang w:eastAsia="en-US"/>
        </w:rPr>
        <w:fldChar w:fldCharType="end"/>
      </w:r>
      <w:r w:rsidR="00FF23D4">
        <w:rPr>
          <w:szCs w:val="24"/>
          <w:lang w:eastAsia="en-US"/>
        </w:rPr>
        <w:t>.  </w:t>
      </w:r>
      <w:r w:rsidR="008D12DC">
        <w:rPr>
          <w:szCs w:val="24"/>
          <w:lang w:eastAsia="en-US"/>
        </w:rPr>
        <w:t xml:space="preserve">As it appears from the relevant national provisions summarised above in </w:t>
      </w:r>
      <w:r w:rsidR="00931750">
        <w:rPr>
          <w:szCs w:val="24"/>
          <w:lang w:eastAsia="en-US"/>
        </w:rPr>
        <w:t xml:space="preserve">the </w:t>
      </w:r>
      <w:r w:rsidR="008D12DC">
        <w:rPr>
          <w:szCs w:val="24"/>
          <w:lang w:eastAsia="en-US"/>
        </w:rPr>
        <w:t>“Relevant Domestic Law and Pr</w:t>
      </w:r>
      <w:r w:rsidR="009A3884">
        <w:rPr>
          <w:szCs w:val="24"/>
          <w:lang w:eastAsia="en-US"/>
        </w:rPr>
        <w:t>actice</w:t>
      </w:r>
      <w:r w:rsidR="008D12DC">
        <w:rPr>
          <w:szCs w:val="24"/>
          <w:lang w:eastAsia="en-US"/>
        </w:rPr>
        <w:t>”, person</w:t>
      </w:r>
      <w:r w:rsidR="00406BE4">
        <w:rPr>
          <w:szCs w:val="24"/>
          <w:lang w:eastAsia="en-US"/>
        </w:rPr>
        <w:t>s</w:t>
      </w:r>
      <w:r w:rsidR="008D12DC">
        <w:rPr>
          <w:szCs w:val="24"/>
          <w:lang w:eastAsia="en-US"/>
        </w:rPr>
        <w:t xml:space="preserve"> convicted of having intentionally committed </w:t>
      </w:r>
      <w:r w:rsidR="000D5B01">
        <w:rPr>
          <w:szCs w:val="24"/>
          <w:lang w:eastAsia="en-US"/>
        </w:rPr>
        <w:t xml:space="preserve">an </w:t>
      </w:r>
      <w:r w:rsidR="008D12DC">
        <w:rPr>
          <w:szCs w:val="24"/>
          <w:lang w:eastAsia="en-US"/>
        </w:rPr>
        <w:t xml:space="preserve">offence </w:t>
      </w:r>
      <w:r w:rsidR="00406BE4">
        <w:rPr>
          <w:szCs w:val="24"/>
          <w:lang w:eastAsia="en-US"/>
        </w:rPr>
        <w:t>are</w:t>
      </w:r>
      <w:r w:rsidR="008D12DC">
        <w:rPr>
          <w:szCs w:val="24"/>
          <w:lang w:eastAsia="en-US"/>
        </w:rPr>
        <w:t xml:space="preserve"> unable to vote.</w:t>
      </w:r>
      <w:r w:rsidR="0028738F">
        <w:rPr>
          <w:szCs w:val="24"/>
          <w:lang w:eastAsia="en-US"/>
        </w:rPr>
        <w:t>Moreover, the</w:t>
      </w:r>
      <w:r w:rsidR="000D5B01">
        <w:rPr>
          <w:szCs w:val="24"/>
          <w:lang w:eastAsia="en-US"/>
        </w:rPr>
        <w:t>ir</w:t>
      </w:r>
      <w:r w:rsidR="0028738F">
        <w:rPr>
          <w:szCs w:val="24"/>
          <w:lang w:eastAsia="en-US"/>
        </w:rPr>
        <w:t xml:space="preserve"> disenfranchisement does not come to an end on release from prison on probation, but continues until </w:t>
      </w:r>
      <w:r w:rsidR="006C7612">
        <w:rPr>
          <w:szCs w:val="24"/>
          <w:lang w:eastAsia="en-US"/>
        </w:rPr>
        <w:t xml:space="preserve">the </w:t>
      </w:r>
      <w:r w:rsidR="0028738F">
        <w:rPr>
          <w:szCs w:val="24"/>
          <w:lang w:eastAsia="en-US"/>
        </w:rPr>
        <w:t xml:space="preserve">end of the </w:t>
      </w:r>
      <w:r w:rsidR="00C4124C">
        <w:rPr>
          <w:szCs w:val="24"/>
          <w:lang w:eastAsia="en-US"/>
        </w:rPr>
        <w:t xml:space="preserve">period </w:t>
      </w:r>
      <w:r w:rsidR="0028738F">
        <w:rPr>
          <w:szCs w:val="24"/>
          <w:lang w:eastAsia="en-US"/>
        </w:rPr>
        <w:t xml:space="preserve">of the </w:t>
      </w:r>
      <w:r w:rsidR="00931750">
        <w:rPr>
          <w:szCs w:val="24"/>
          <w:lang w:eastAsia="en-US"/>
        </w:rPr>
        <w:t xml:space="preserve">original </w:t>
      </w:r>
      <w:r w:rsidR="0028738F">
        <w:rPr>
          <w:szCs w:val="24"/>
          <w:lang w:eastAsia="en-US"/>
        </w:rPr>
        <w:t xml:space="preserve">sentence handed down </w:t>
      </w:r>
      <w:r w:rsidR="000D5B01">
        <w:rPr>
          <w:szCs w:val="24"/>
          <w:lang w:eastAsia="en-US"/>
        </w:rPr>
        <w:t>at the time of their conviction</w:t>
      </w:r>
      <w:r w:rsidR="0028738F">
        <w:rPr>
          <w:szCs w:val="24"/>
          <w:lang w:eastAsia="en-US"/>
        </w:rPr>
        <w:t>. In</w:t>
      </w:r>
      <w:r w:rsidR="000D5B01">
        <w:rPr>
          <w:szCs w:val="24"/>
          <w:lang w:eastAsia="en-US"/>
        </w:rPr>
        <w:t xml:space="preserve"> fact,</w:t>
      </w:r>
      <w:r w:rsidR="00107799">
        <w:rPr>
          <w:szCs w:val="24"/>
          <w:lang w:eastAsia="en-US"/>
        </w:rPr>
        <w:t>pursuant to section 53</w:t>
      </w:r>
      <w:r w:rsidR="002600F0">
        <w:rPr>
          <w:szCs w:val="24"/>
          <w:lang w:eastAsia="en-US"/>
        </w:rPr>
        <w:t> </w:t>
      </w:r>
      <w:r w:rsidR="00107799">
        <w:rPr>
          <w:szCs w:val="24"/>
          <w:lang w:eastAsia="en-US"/>
        </w:rPr>
        <w:t>§</w:t>
      </w:r>
      <w:r w:rsidR="009338DF">
        <w:rPr>
          <w:szCs w:val="24"/>
          <w:lang w:eastAsia="en-US"/>
        </w:rPr>
        <w:t> </w:t>
      </w:r>
      <w:r w:rsidR="00107799">
        <w:rPr>
          <w:szCs w:val="24"/>
          <w:lang w:eastAsia="en-US"/>
        </w:rPr>
        <w:t xml:space="preserve">3 of the Criminal Code, </w:t>
      </w:r>
      <w:r w:rsidR="0028738F">
        <w:rPr>
          <w:szCs w:val="24"/>
          <w:lang w:eastAsia="en-US"/>
        </w:rPr>
        <w:t xml:space="preserve">even when </w:t>
      </w:r>
      <w:r w:rsidR="004046AC">
        <w:rPr>
          <w:szCs w:val="24"/>
          <w:lang w:eastAsia="en-US"/>
        </w:rPr>
        <w:t>a</w:t>
      </w:r>
      <w:r w:rsidR="0028738F">
        <w:rPr>
          <w:szCs w:val="24"/>
          <w:lang w:eastAsia="en-US"/>
        </w:rPr>
        <w:t xml:space="preserve"> prison sentence </w:t>
      </w:r>
      <w:r w:rsidR="004046AC">
        <w:rPr>
          <w:szCs w:val="24"/>
          <w:lang w:eastAsia="en-US"/>
        </w:rPr>
        <w:t xml:space="preserve">which is longer than one year </w:t>
      </w:r>
      <w:r w:rsidR="0028738F">
        <w:rPr>
          <w:szCs w:val="24"/>
          <w:lang w:eastAsia="en-US"/>
        </w:rPr>
        <w:t>is suspended and the convicted person does not serve any time in the prison, he or she will still be unable to vote for the duration of the suspension of the sentence</w:t>
      </w:r>
      <w:r w:rsidR="004046AC">
        <w:rPr>
          <w:szCs w:val="24"/>
          <w:lang w:eastAsia="en-US"/>
        </w:rPr>
        <w:t xml:space="preserve"> (see paragraph </w:t>
      </w:r>
      <w:r w:rsidR="001961C9">
        <w:rPr>
          <w:szCs w:val="24"/>
          <w:lang w:eastAsia="en-US"/>
        </w:rPr>
        <w:t>14</w:t>
      </w:r>
      <w:r w:rsidR="004046AC">
        <w:rPr>
          <w:szCs w:val="24"/>
          <w:lang w:eastAsia="en-US"/>
        </w:rPr>
        <w:t xml:space="preserve"> above)</w:t>
      </w:r>
      <w:r w:rsidR="0028738F">
        <w:rPr>
          <w:szCs w:val="24"/>
          <w:lang w:eastAsia="en-US"/>
        </w:rPr>
        <w:t>.</w:t>
      </w:r>
    </w:p>
    <w:p w:rsidR="002600F0" w:rsidRDefault="003708D5" w:rsidP="00FF23D4">
      <w:pPr>
        <w:pStyle w:val="JuPara"/>
        <w:rPr>
          <w:szCs w:val="24"/>
          <w:lang w:eastAsia="en-US"/>
        </w:rPr>
      </w:pPr>
      <w:r>
        <w:fldChar w:fldCharType="begin"/>
      </w:r>
      <w:r w:rsidR="002600F0">
        <w:instrText xml:space="preserve"> SEQ level0 \*arabic </w:instrText>
      </w:r>
      <w:r>
        <w:fldChar w:fldCharType="separate"/>
      </w:r>
      <w:r w:rsidR="00414CD4">
        <w:rPr>
          <w:noProof/>
        </w:rPr>
        <w:t>37</w:t>
      </w:r>
      <w:r>
        <w:fldChar w:fldCharType="end"/>
      </w:r>
      <w:r w:rsidR="002600F0">
        <w:t>.  Having regard to the Government</w:t>
      </w:r>
      <w:r w:rsidR="00697AAB">
        <w:t>’</w:t>
      </w:r>
      <w:r w:rsidR="002600F0">
        <w:t>s submission that the restrictions on the applicant</w:t>
      </w:r>
      <w:r w:rsidR="00697AAB">
        <w:t>’</w:t>
      </w:r>
      <w:r w:rsidR="002600F0">
        <w:t xml:space="preserve">s right to vote pursued the aim of rehabilitating him, and having further regard to the rationale of section 53 of the Criminal Code set out in the Explanatory Report (see paragraph 17 above) relied on by the Government, the Court is prepared to accept, notwithstanding </w:t>
      </w:r>
      <w:r w:rsidR="002600F0" w:rsidRPr="00CC6812">
        <w:rPr>
          <w:szCs w:val="24"/>
          <w:lang w:val="en-US" w:eastAsia="en-US"/>
        </w:rPr>
        <w:t>whatever doubt there may be as to the efficacy of achieving these aims through a bar on voting</w:t>
      </w:r>
      <w:r w:rsidR="002600F0">
        <w:rPr>
          <w:szCs w:val="24"/>
          <w:lang w:val="en-US" w:eastAsia="en-US"/>
        </w:rPr>
        <w:t>,</w:t>
      </w:r>
      <w:r w:rsidR="002600F0">
        <w:t xml:space="preserve"> that the restriction on the applicant</w:t>
      </w:r>
      <w:r w:rsidR="00697AAB">
        <w:t>’</w:t>
      </w:r>
      <w:r w:rsidR="002600F0">
        <w:t>s right to vote pursued the aim of encouraging citizen-like conduct, and considers that that aim is not</w:t>
      </w:r>
      <w:r w:rsidR="002600F0">
        <w:rPr>
          <w:rStyle w:val="sb8d990e2"/>
        </w:rPr>
        <w:t xml:space="preserve"> untenable or incompatible</w:t>
      </w:r>
      <w:r w:rsidR="002600F0" w:rsidRPr="000D5B01">
        <w:rPr>
          <w:rStyle w:val="s6b621b36"/>
          <w:i/>
        </w:rPr>
        <w:t>per se</w:t>
      </w:r>
      <w:r w:rsidR="002600F0">
        <w:rPr>
          <w:rStyle w:val="sb8d990e2"/>
        </w:rPr>
        <w:t xml:space="preserve"> with the right guaranteed under Article 3 of Protocol No. 1 (</w:t>
      </w:r>
      <w:r w:rsidR="002600F0" w:rsidRPr="00C52BA1">
        <w:rPr>
          <w:i/>
          <w:szCs w:val="24"/>
          <w:lang w:eastAsia="en-US"/>
        </w:rPr>
        <w:t>Hirst (no. 2)</w:t>
      </w:r>
      <w:r w:rsidR="002600F0" w:rsidRPr="00C52BA1">
        <w:rPr>
          <w:szCs w:val="24"/>
          <w:lang w:eastAsia="en-US"/>
        </w:rPr>
        <w:t xml:space="preserve"> [GC]</w:t>
      </w:r>
      <w:r w:rsidR="002600F0">
        <w:rPr>
          <w:szCs w:val="24"/>
          <w:lang w:eastAsia="en-US"/>
        </w:rPr>
        <w:t>, cited above, §§ 74-75).</w:t>
      </w:r>
    </w:p>
    <w:p w:rsidR="0028738F" w:rsidRDefault="003708D5" w:rsidP="00FF23D4">
      <w:pPr>
        <w:pStyle w:val="JuPara"/>
        <w:rPr>
          <w:lang w:val="it-IT" w:eastAsia="en-US"/>
        </w:rPr>
      </w:pPr>
      <w:r>
        <w:rPr>
          <w:szCs w:val="24"/>
          <w:lang w:eastAsia="en-US"/>
        </w:rPr>
        <w:fldChar w:fldCharType="begin"/>
      </w:r>
      <w:r w:rsidR="002600F0">
        <w:rPr>
          <w:szCs w:val="24"/>
          <w:lang w:eastAsia="en-US"/>
        </w:rPr>
        <w:instrText xml:space="preserve"> SEQ level0 \*arabic </w:instrText>
      </w:r>
      <w:r>
        <w:rPr>
          <w:szCs w:val="24"/>
          <w:lang w:eastAsia="en-US"/>
        </w:rPr>
        <w:fldChar w:fldCharType="separate"/>
      </w:r>
      <w:r w:rsidR="00414CD4">
        <w:rPr>
          <w:noProof/>
          <w:szCs w:val="24"/>
          <w:lang w:eastAsia="en-US"/>
        </w:rPr>
        <w:t>38</w:t>
      </w:r>
      <w:r>
        <w:rPr>
          <w:szCs w:val="24"/>
          <w:lang w:eastAsia="en-US"/>
        </w:rPr>
        <w:fldChar w:fldCharType="end"/>
      </w:r>
      <w:r w:rsidR="002600F0">
        <w:rPr>
          <w:szCs w:val="24"/>
          <w:lang w:eastAsia="en-US"/>
        </w:rPr>
        <w:t>.  </w:t>
      </w:r>
      <w:r w:rsidR="00C4124C">
        <w:rPr>
          <w:szCs w:val="24"/>
          <w:lang w:eastAsia="en-US"/>
        </w:rPr>
        <w:t>In light of the above</w:t>
      </w:r>
      <w:r w:rsidR="00350299">
        <w:rPr>
          <w:szCs w:val="24"/>
          <w:lang w:eastAsia="en-US"/>
        </w:rPr>
        <w:t xml:space="preserve">,and in so far as they are applicable to convicts who do not even serve a prison term, </w:t>
      </w:r>
      <w:r w:rsidR="00C4124C">
        <w:rPr>
          <w:szCs w:val="24"/>
          <w:lang w:eastAsia="en-US"/>
        </w:rPr>
        <w:t xml:space="preserve">the Court </w:t>
      </w:r>
      <w:r w:rsidR="00E11633">
        <w:rPr>
          <w:szCs w:val="24"/>
          <w:lang w:eastAsia="en-US"/>
        </w:rPr>
        <w:t>considers</w:t>
      </w:r>
      <w:r w:rsidR="00C4124C">
        <w:rPr>
          <w:szCs w:val="24"/>
          <w:lang w:eastAsia="en-US"/>
        </w:rPr>
        <w:t xml:space="preserve"> that the restrictions placed on convicted prisoners</w:t>
      </w:r>
      <w:r w:rsidR="00697AAB">
        <w:rPr>
          <w:szCs w:val="24"/>
          <w:lang w:eastAsia="en-US"/>
        </w:rPr>
        <w:t>’</w:t>
      </w:r>
      <w:r w:rsidR="00937C3B">
        <w:rPr>
          <w:szCs w:val="24"/>
          <w:lang w:eastAsia="en-US"/>
        </w:rPr>
        <w:t xml:space="preserve"> voting rights</w:t>
      </w:r>
      <w:r w:rsidR="00C4124C">
        <w:rPr>
          <w:szCs w:val="24"/>
          <w:lang w:eastAsia="en-US"/>
        </w:rPr>
        <w:t xml:space="preserve">in Turkey are </w:t>
      </w:r>
      <w:r w:rsidR="00C4124C">
        <w:rPr>
          <w:szCs w:val="24"/>
          <w:lang w:eastAsia="en-US"/>
        </w:rPr>
        <w:lastRenderedPageBreak/>
        <w:t>harsher and more far</w:t>
      </w:r>
      <w:r w:rsidR="006C7612">
        <w:rPr>
          <w:szCs w:val="24"/>
          <w:lang w:eastAsia="en-US"/>
        </w:rPr>
        <w:t>-</w:t>
      </w:r>
      <w:r w:rsidR="00C4124C">
        <w:rPr>
          <w:szCs w:val="24"/>
          <w:lang w:eastAsia="en-US"/>
        </w:rPr>
        <w:t>reaching than those applicable in the United Kingdom, Austria and Italy</w:t>
      </w:r>
      <w:r w:rsidR="00E11633">
        <w:rPr>
          <w:szCs w:val="24"/>
          <w:lang w:eastAsia="en-US"/>
        </w:rPr>
        <w:t>,</w:t>
      </w:r>
      <w:r w:rsidR="00C4124C">
        <w:rPr>
          <w:szCs w:val="24"/>
          <w:lang w:eastAsia="en-US"/>
        </w:rPr>
        <w:t xml:space="preserve"> which have been the subject matter of examination by the Court in its judgments in the above-mentioned cases of </w:t>
      </w:r>
      <w:r w:rsidR="00C4124C" w:rsidRPr="00C52BA1">
        <w:rPr>
          <w:i/>
          <w:szCs w:val="24"/>
          <w:lang w:eastAsia="en-US"/>
        </w:rPr>
        <w:t>Hirst (no. 2)</w:t>
      </w:r>
      <w:r w:rsidR="00C4124C" w:rsidRPr="00C52BA1">
        <w:rPr>
          <w:szCs w:val="24"/>
          <w:lang w:eastAsia="en-US"/>
        </w:rPr>
        <w:t xml:space="preserve"> [GC]</w:t>
      </w:r>
      <w:r w:rsidR="00C4124C">
        <w:rPr>
          <w:szCs w:val="24"/>
          <w:lang w:eastAsia="en-US"/>
        </w:rPr>
        <w:t xml:space="preserve">, </w:t>
      </w:r>
      <w:r w:rsidR="00C4124C" w:rsidRPr="00FF5378">
        <w:rPr>
          <w:i/>
          <w:lang w:eastAsia="en-US"/>
        </w:rPr>
        <w:t>Frodl</w:t>
      </w:r>
      <w:r w:rsidR="00C4124C">
        <w:rPr>
          <w:snapToGrid w:val="0"/>
          <w:lang w:eastAsia="en-US"/>
        </w:rPr>
        <w:t xml:space="preserve"> and</w:t>
      </w:r>
      <w:r w:rsidR="00C4124C" w:rsidRPr="00FF5378">
        <w:rPr>
          <w:i/>
          <w:lang w:val="it-IT" w:eastAsia="en-US"/>
        </w:rPr>
        <w:t>Scoppola (no. 3)</w:t>
      </w:r>
      <w:r w:rsidR="00C4124C" w:rsidRPr="00FF5378">
        <w:rPr>
          <w:lang w:val="it-IT" w:eastAsia="en-US"/>
        </w:rPr>
        <w:t xml:space="preserve"> [GC]</w:t>
      </w:r>
      <w:r w:rsidR="00C4124C">
        <w:rPr>
          <w:lang w:val="it-IT" w:eastAsia="en-US"/>
        </w:rPr>
        <w:t>.</w:t>
      </w:r>
    </w:p>
    <w:p w:rsidR="0072146E" w:rsidRPr="0072146E" w:rsidRDefault="003708D5" w:rsidP="00794759">
      <w:pPr>
        <w:pStyle w:val="JuPara"/>
        <w:rPr>
          <w:lang w:eastAsia="en-US"/>
        </w:rPr>
      </w:pPr>
      <w:r>
        <w:rPr>
          <w:lang w:eastAsia="en-US"/>
        </w:rPr>
        <w:fldChar w:fldCharType="begin"/>
      </w:r>
      <w:r w:rsidR="00E11633">
        <w:rPr>
          <w:lang w:eastAsia="en-US"/>
        </w:rPr>
        <w:instrText xml:space="preserve"> SEQ level0 \*arabic </w:instrText>
      </w:r>
      <w:r>
        <w:rPr>
          <w:lang w:eastAsia="en-US"/>
        </w:rPr>
        <w:fldChar w:fldCharType="separate"/>
      </w:r>
      <w:r w:rsidR="00414CD4">
        <w:rPr>
          <w:noProof/>
          <w:lang w:eastAsia="en-US"/>
        </w:rPr>
        <w:t>39</w:t>
      </w:r>
      <w:r>
        <w:rPr>
          <w:lang w:eastAsia="en-US"/>
        </w:rPr>
        <w:fldChar w:fldCharType="end"/>
      </w:r>
      <w:r w:rsidR="00E11633">
        <w:rPr>
          <w:lang w:eastAsia="en-US"/>
        </w:rPr>
        <w:t>.  </w:t>
      </w:r>
      <w:r w:rsidR="0072146E" w:rsidRPr="0072146E">
        <w:rPr>
          <w:lang w:eastAsia="en-US"/>
        </w:rPr>
        <w:t xml:space="preserve">Furthermore, although the </w:t>
      </w:r>
      <w:r w:rsidR="0072146E" w:rsidRPr="0072146E">
        <w:rPr>
          <w:rStyle w:val="sb8d990e2"/>
        </w:rPr>
        <w:t xml:space="preserve">removal of the right to vote without any </w:t>
      </w:r>
      <w:r w:rsidR="0072146E" w:rsidRPr="0072146E">
        <w:rPr>
          <w:rStyle w:val="s6b621b36"/>
          <w:i/>
          <w:iCs/>
        </w:rPr>
        <w:t>ad hoc</w:t>
      </w:r>
      <w:r w:rsidR="0072146E" w:rsidRPr="0072146E">
        <w:rPr>
          <w:rStyle w:val="sb8d990e2"/>
        </w:rPr>
        <w:t xml:space="preserve"> judicial decision is not among the essential criteria for determining the proportionality of a disenfranchisement measure (see</w:t>
      </w:r>
      <w:r w:rsidR="0072146E" w:rsidRPr="0072146E">
        <w:rPr>
          <w:i/>
          <w:iCs/>
          <w:lang w:val="it-IT" w:eastAsia="en-US"/>
        </w:rPr>
        <w:t xml:space="preserve"> Scoppola (no.</w:t>
      </w:r>
      <w:r w:rsidR="00EC3D12">
        <w:rPr>
          <w:i/>
          <w:iCs/>
          <w:lang w:val="it-IT" w:eastAsia="en-US"/>
        </w:rPr>
        <w:t> </w:t>
      </w:r>
      <w:r w:rsidR="0072146E" w:rsidRPr="0072146E">
        <w:rPr>
          <w:i/>
          <w:iCs/>
          <w:lang w:val="it-IT" w:eastAsia="en-US"/>
        </w:rPr>
        <w:t>3)</w:t>
      </w:r>
      <w:r w:rsidR="0072146E" w:rsidRPr="0072146E">
        <w:rPr>
          <w:lang w:val="it-IT" w:eastAsia="en-US"/>
        </w:rPr>
        <w:t xml:space="preserve"> [GC], cited above</w:t>
      </w:r>
      <w:r w:rsidR="0072146E" w:rsidRPr="0072146E">
        <w:rPr>
          <w:lang w:eastAsia="en-US"/>
        </w:rPr>
        <w:t>, § 99) and it</w:t>
      </w:r>
      <w:r w:rsidR="0072146E" w:rsidRPr="0072146E">
        <w:rPr>
          <w:rStyle w:val="sb8d990e2"/>
        </w:rPr>
        <w:t xml:space="preserve"> does not, in itself, give rise to a violation of Article 3 of Protocol No. 1 (</w:t>
      </w:r>
      <w:r w:rsidR="0072146E" w:rsidRPr="0072146E">
        <w:rPr>
          <w:rStyle w:val="sb8d990e2"/>
          <w:i/>
          <w:iCs/>
        </w:rPr>
        <w:t>ibid</w:t>
      </w:r>
      <w:r w:rsidR="0072146E" w:rsidRPr="0072146E">
        <w:rPr>
          <w:lang w:eastAsia="en-US"/>
        </w:rPr>
        <w:t>, §§ 103-104)</w:t>
      </w:r>
      <w:r w:rsidR="0072146E" w:rsidRPr="0072146E">
        <w:rPr>
          <w:rStyle w:val="sb8d990e2"/>
        </w:rPr>
        <w:t xml:space="preserve">, </w:t>
      </w:r>
      <w:r w:rsidR="0072146E" w:rsidRPr="0072146E">
        <w:rPr>
          <w:lang w:eastAsia="en-US"/>
        </w:rPr>
        <w:t>the intervention of a judge is in principle likely to guarantee the proportionality of restrictions on prisoners</w:t>
      </w:r>
      <w:r w:rsidR="00697AAB">
        <w:rPr>
          <w:lang w:eastAsia="en-US"/>
        </w:rPr>
        <w:t>’</w:t>
      </w:r>
      <w:r w:rsidR="0072146E" w:rsidRPr="0072146E">
        <w:rPr>
          <w:lang w:eastAsia="en-US"/>
        </w:rPr>
        <w:t xml:space="preserve"> voting rights (</w:t>
      </w:r>
      <w:r w:rsidR="0072146E" w:rsidRPr="0072146E">
        <w:rPr>
          <w:i/>
          <w:iCs/>
          <w:lang w:eastAsia="en-US"/>
        </w:rPr>
        <w:t>ibid.</w:t>
      </w:r>
      <w:r w:rsidR="0072146E" w:rsidRPr="0072146E">
        <w:rPr>
          <w:lang w:eastAsia="en-US"/>
        </w:rPr>
        <w:t xml:space="preserve"> § 99). </w:t>
      </w:r>
      <w:r w:rsidR="0072146E" w:rsidRPr="0072146E">
        <w:rPr>
          <w:rStyle w:val="sb8d990e2"/>
        </w:rPr>
        <w:t xml:space="preserve">In Turkey, disenfranchisement </w:t>
      </w:r>
      <w:r w:rsidR="0072146E" w:rsidRPr="0072146E">
        <w:rPr>
          <w:lang w:eastAsia="en-US"/>
        </w:rPr>
        <w:t>is an automatic consequence derived from the statute, and is therefore not left to the discretion or supervision of the judge.</w:t>
      </w:r>
    </w:p>
    <w:p w:rsidR="002600F0" w:rsidRDefault="003708D5" w:rsidP="00794759">
      <w:pPr>
        <w:pStyle w:val="JuPara"/>
        <w:rPr>
          <w:szCs w:val="24"/>
          <w:lang w:eastAsia="en-US"/>
        </w:rPr>
      </w:pPr>
      <w:r>
        <w:rPr>
          <w:szCs w:val="24"/>
          <w:lang w:eastAsia="en-US"/>
        </w:rPr>
        <w:fldChar w:fldCharType="begin"/>
      </w:r>
      <w:r w:rsidR="00D8049E">
        <w:rPr>
          <w:szCs w:val="24"/>
          <w:lang w:eastAsia="en-US"/>
        </w:rPr>
        <w:instrText xml:space="preserve"> SEQ level0 \*arabic </w:instrText>
      </w:r>
      <w:r>
        <w:rPr>
          <w:szCs w:val="24"/>
          <w:lang w:eastAsia="en-US"/>
        </w:rPr>
        <w:fldChar w:fldCharType="separate"/>
      </w:r>
      <w:r w:rsidR="00414CD4">
        <w:rPr>
          <w:noProof/>
          <w:szCs w:val="24"/>
          <w:lang w:eastAsia="en-US"/>
        </w:rPr>
        <w:t>40</w:t>
      </w:r>
      <w:r>
        <w:rPr>
          <w:szCs w:val="24"/>
          <w:lang w:eastAsia="en-US"/>
        </w:rPr>
        <w:fldChar w:fldCharType="end"/>
      </w:r>
      <w:r w:rsidR="00D8049E">
        <w:rPr>
          <w:szCs w:val="24"/>
          <w:lang w:eastAsia="en-US"/>
        </w:rPr>
        <w:t>.  </w:t>
      </w:r>
      <w:r w:rsidR="006342EC">
        <w:rPr>
          <w:szCs w:val="24"/>
          <w:lang w:eastAsia="en-US"/>
        </w:rPr>
        <w:t xml:space="preserve">Indeed, </w:t>
      </w:r>
      <w:r w:rsidR="00733A2E">
        <w:rPr>
          <w:szCs w:val="24"/>
          <w:lang w:eastAsia="en-US"/>
        </w:rPr>
        <w:t xml:space="preserve">according to </w:t>
      </w:r>
      <w:r w:rsidR="006342EC">
        <w:rPr>
          <w:szCs w:val="24"/>
          <w:lang w:eastAsia="en-US"/>
        </w:rPr>
        <w:t xml:space="preserve">the Grand Chamber of the Criminal Division of the Court of Cassation </w:t>
      </w:r>
      <w:r w:rsidR="00733A2E">
        <w:rPr>
          <w:szCs w:val="24"/>
          <w:lang w:eastAsia="en-US"/>
        </w:rPr>
        <w:t xml:space="preserve">which examined section 53 of the Criminal Code </w:t>
      </w:r>
      <w:r w:rsidR="006342EC">
        <w:rPr>
          <w:szCs w:val="24"/>
          <w:lang w:eastAsia="en-US"/>
        </w:rPr>
        <w:t xml:space="preserve">in another case (paragraph </w:t>
      </w:r>
      <w:r w:rsidR="001961C9">
        <w:rPr>
          <w:szCs w:val="24"/>
          <w:lang w:eastAsia="en-US"/>
        </w:rPr>
        <w:t>19</w:t>
      </w:r>
      <w:r w:rsidR="006342EC">
        <w:rPr>
          <w:szCs w:val="24"/>
          <w:lang w:eastAsia="en-US"/>
        </w:rPr>
        <w:t xml:space="preserve"> above), the </w:t>
      </w:r>
      <w:r w:rsidR="00223FBF">
        <w:rPr>
          <w:szCs w:val="24"/>
          <w:lang w:eastAsia="en-US"/>
        </w:rPr>
        <w:t>judgment</w:t>
      </w:r>
      <w:r w:rsidR="006342EC">
        <w:rPr>
          <w:szCs w:val="24"/>
          <w:lang w:eastAsia="en-US"/>
        </w:rPr>
        <w:t xml:space="preserve"> convicting the person does not have to </w:t>
      </w:r>
      <w:r w:rsidR="006A0427">
        <w:rPr>
          <w:szCs w:val="24"/>
          <w:lang w:eastAsia="en-US"/>
        </w:rPr>
        <w:t xml:space="preserve">make a </w:t>
      </w:r>
      <w:r w:rsidR="006342EC">
        <w:rPr>
          <w:szCs w:val="24"/>
          <w:lang w:eastAsia="en-US"/>
        </w:rPr>
        <w:t xml:space="preserve">mention </w:t>
      </w:r>
      <w:r w:rsidR="006A0427">
        <w:rPr>
          <w:szCs w:val="24"/>
          <w:lang w:eastAsia="en-US"/>
        </w:rPr>
        <w:t xml:space="preserve">of </w:t>
      </w:r>
      <w:r w:rsidR="006342EC">
        <w:rPr>
          <w:szCs w:val="24"/>
          <w:lang w:eastAsia="en-US"/>
        </w:rPr>
        <w:t>the disenfranchisement for it to be applicable.</w:t>
      </w:r>
    </w:p>
    <w:p w:rsidR="0006711C" w:rsidRPr="00350299" w:rsidRDefault="003708D5" w:rsidP="00794759">
      <w:pPr>
        <w:pStyle w:val="JuPara"/>
        <w:rPr>
          <w:szCs w:val="24"/>
          <w:lang w:eastAsia="en-US"/>
        </w:rPr>
      </w:pPr>
      <w:r w:rsidRPr="00B65A7F">
        <w:rPr>
          <w:lang w:eastAsia="en-US"/>
        </w:rPr>
        <w:fldChar w:fldCharType="begin"/>
      </w:r>
      <w:r w:rsidR="005970D9" w:rsidRPr="00B65A7F">
        <w:rPr>
          <w:lang w:eastAsia="en-US"/>
        </w:rPr>
        <w:instrText xml:space="preserve"> SEQ level0 \*arabic </w:instrText>
      </w:r>
      <w:r w:rsidRPr="00B65A7F">
        <w:rPr>
          <w:lang w:eastAsia="en-US"/>
        </w:rPr>
        <w:fldChar w:fldCharType="separate"/>
      </w:r>
      <w:r w:rsidR="00414CD4">
        <w:rPr>
          <w:noProof/>
          <w:lang w:eastAsia="en-US"/>
        </w:rPr>
        <w:t>41</w:t>
      </w:r>
      <w:r w:rsidRPr="00B65A7F">
        <w:rPr>
          <w:lang w:eastAsia="en-US"/>
        </w:rPr>
        <w:fldChar w:fldCharType="end"/>
      </w:r>
      <w:r w:rsidR="005970D9" w:rsidRPr="00B65A7F">
        <w:rPr>
          <w:lang w:eastAsia="en-US"/>
        </w:rPr>
        <w:t>.  </w:t>
      </w:r>
      <w:r w:rsidR="00B65A7F" w:rsidRPr="00B65A7F">
        <w:rPr>
          <w:lang w:eastAsia="en-US"/>
        </w:rPr>
        <w:t xml:space="preserve">Moreover, unlike the situation in Italy which was examined by the Grand Chamber in its judgment in the case of </w:t>
      </w:r>
      <w:r w:rsidR="00B65A7F" w:rsidRPr="00B65A7F">
        <w:rPr>
          <w:i/>
          <w:iCs/>
          <w:lang w:val="it-IT" w:eastAsia="en-US"/>
        </w:rPr>
        <w:t>Scoppola (no. 3)</w:t>
      </w:r>
      <w:r w:rsidR="00B65A7F" w:rsidRPr="00B65A7F">
        <w:rPr>
          <w:lang w:val="it-IT" w:eastAsia="en-US"/>
        </w:rPr>
        <w:t xml:space="preserve">, </w:t>
      </w:r>
      <w:r w:rsidR="00B65A7F" w:rsidRPr="00B65A7F">
        <w:rPr>
          <w:lang w:eastAsia="en-US"/>
        </w:rPr>
        <w:t xml:space="preserve">the measure restricting the right to vote in Turkey is indiscriminate in its application in that it does not take into account the nature or gravity of the offence, the length of the prison sentence </w:t>
      </w:r>
      <w:r w:rsidR="00B65A7F" w:rsidRPr="00B65A7F">
        <w:rPr>
          <w:bCs/>
          <w:lang w:eastAsia="en-US"/>
        </w:rPr>
        <w:softHyphen/>
        <w:t xml:space="preserve">– leaving aside the suspended sentences shorter than one year (see paragraph 14 above) </w:t>
      </w:r>
      <w:r w:rsidR="00AE4363">
        <w:rPr>
          <w:bCs/>
          <w:lang w:eastAsia="en-US"/>
        </w:rPr>
        <w:t>–</w:t>
      </w:r>
      <w:r w:rsidR="00B65A7F" w:rsidRPr="00B65A7F">
        <w:rPr>
          <w:lang w:eastAsia="en-US"/>
        </w:rPr>
        <w:t xml:space="preserve"> or the individual circumstances of the convicted persons. The Turkish legislation contains no express provisions categorising or specifying any offences for which disenfranchisement is foreseen (see, </w:t>
      </w:r>
      <w:r w:rsidR="00B65A7F" w:rsidRPr="00B65A7F">
        <w:rPr>
          <w:i/>
          <w:iCs/>
          <w:lang w:eastAsia="en-US"/>
        </w:rPr>
        <w:t>a contrario</w:t>
      </w:r>
      <w:r w:rsidR="00B65A7F" w:rsidRPr="00B65A7F">
        <w:rPr>
          <w:lang w:eastAsia="en-US"/>
        </w:rPr>
        <w:t xml:space="preserve">, </w:t>
      </w:r>
      <w:r w:rsidR="00B65A7F" w:rsidRPr="00B65A7F">
        <w:rPr>
          <w:i/>
          <w:iCs/>
          <w:lang w:val="it-IT" w:eastAsia="en-US"/>
        </w:rPr>
        <w:t>Scoppola (no. 3)</w:t>
      </w:r>
      <w:r w:rsidR="00B65A7F" w:rsidRPr="00B65A7F">
        <w:rPr>
          <w:lang w:val="it-IT" w:eastAsia="en-US"/>
        </w:rPr>
        <w:t xml:space="preserve"> [GC], cited above, </w:t>
      </w:r>
      <w:r w:rsidR="00B65A7F" w:rsidRPr="00B65A7F">
        <w:rPr>
          <w:lang w:eastAsia="en-US"/>
        </w:rPr>
        <w:t>§ 105).</w:t>
      </w:r>
    </w:p>
    <w:p w:rsidR="00DB770B" w:rsidRDefault="003708D5" w:rsidP="000543D0">
      <w:pPr>
        <w:pStyle w:val="JuPara"/>
        <w:rPr>
          <w:rStyle w:val="sb8d990e2"/>
        </w:rPr>
      </w:pPr>
      <w:r>
        <w:rPr>
          <w:lang w:eastAsia="en-US"/>
        </w:rPr>
        <w:fldChar w:fldCharType="begin"/>
      </w:r>
      <w:r w:rsidR="00EA00BC">
        <w:rPr>
          <w:lang w:eastAsia="en-US"/>
        </w:rPr>
        <w:instrText xml:space="preserve"> SEQ level0 \*arabic </w:instrText>
      </w:r>
      <w:r>
        <w:rPr>
          <w:lang w:eastAsia="en-US"/>
        </w:rPr>
        <w:fldChar w:fldCharType="separate"/>
      </w:r>
      <w:r w:rsidR="00414CD4">
        <w:rPr>
          <w:noProof/>
          <w:lang w:eastAsia="en-US"/>
        </w:rPr>
        <w:t>42</w:t>
      </w:r>
      <w:r>
        <w:rPr>
          <w:lang w:eastAsia="en-US"/>
        </w:rPr>
        <w:fldChar w:fldCharType="end"/>
      </w:r>
      <w:r w:rsidR="00EA00BC">
        <w:rPr>
          <w:lang w:eastAsia="en-US"/>
        </w:rPr>
        <w:t xml:space="preserve">.  The </w:t>
      </w:r>
      <w:r w:rsidR="005B4D4A">
        <w:rPr>
          <w:lang w:eastAsia="en-US"/>
        </w:rPr>
        <w:t xml:space="preserve">Court does not consider that </w:t>
      </w:r>
      <w:r w:rsidR="00A64D8E">
        <w:rPr>
          <w:lang w:eastAsia="en-US"/>
        </w:rPr>
        <w:t xml:space="preserve">the sole </w:t>
      </w:r>
      <w:r w:rsidR="005B4D4A">
        <w:rPr>
          <w:lang w:eastAsia="en-US"/>
        </w:rPr>
        <w:t>requir</w:t>
      </w:r>
      <w:r w:rsidR="00A64D8E">
        <w:rPr>
          <w:lang w:eastAsia="en-US"/>
        </w:rPr>
        <w:t>ement of the element of</w:t>
      </w:r>
      <w:r w:rsidR="005970D9">
        <w:rPr>
          <w:lang w:eastAsia="en-US"/>
        </w:rPr>
        <w:t>“intent” in the commission of the offence</w:t>
      </w:r>
      <w:r w:rsidR="00257077">
        <w:rPr>
          <w:lang w:eastAsia="en-US"/>
        </w:rPr>
        <w:t xml:space="preserve"> is sufficient to </w:t>
      </w:r>
      <w:r w:rsidR="00B42730">
        <w:rPr>
          <w:lang w:eastAsia="en-US"/>
        </w:rPr>
        <w:t xml:space="preserve">lead it to </w:t>
      </w:r>
      <w:r w:rsidR="00257077">
        <w:rPr>
          <w:lang w:eastAsia="en-US"/>
        </w:rPr>
        <w:t>conclu</w:t>
      </w:r>
      <w:r w:rsidR="00B42730">
        <w:rPr>
          <w:lang w:eastAsia="en-US"/>
        </w:rPr>
        <w:t>de</w:t>
      </w:r>
      <w:r w:rsidR="00A64D8E">
        <w:rPr>
          <w:lang w:eastAsia="en-US"/>
        </w:rPr>
        <w:t>that the current legal framework adequately</w:t>
      </w:r>
      <w:r w:rsidR="00A64D8E">
        <w:rPr>
          <w:rStyle w:val="sb8d990e2"/>
        </w:rPr>
        <w:t xml:space="preserve"> protects the rights in question and does not impair their very essence or deprive them of their effectiveness. </w:t>
      </w:r>
      <w:r w:rsidR="00406BE4">
        <w:rPr>
          <w:rStyle w:val="sb8d990e2"/>
        </w:rPr>
        <w:t>To that end, i</w:t>
      </w:r>
      <w:r w:rsidR="007C7064">
        <w:rPr>
          <w:rStyle w:val="sb8d990e2"/>
        </w:rPr>
        <w:t>t disagrees with the Government that the legal framework takes into ac</w:t>
      </w:r>
      <w:r w:rsidR="00406BE4">
        <w:rPr>
          <w:rStyle w:val="sb8d990e2"/>
        </w:rPr>
        <w:t>count the nature of the offence (see paragraph</w:t>
      </w:r>
      <w:r w:rsidR="009338DF">
        <w:rPr>
          <w:rStyle w:val="sb8d990e2"/>
        </w:rPr>
        <w:t> </w:t>
      </w:r>
      <w:r w:rsidR="001961C9">
        <w:rPr>
          <w:rStyle w:val="sb8d990e2"/>
        </w:rPr>
        <w:t>29</w:t>
      </w:r>
      <w:r w:rsidR="00406BE4">
        <w:rPr>
          <w:rStyle w:val="sb8d990e2"/>
        </w:rPr>
        <w:t xml:space="preserve"> above).</w:t>
      </w:r>
      <w:r w:rsidR="00DB770B">
        <w:rPr>
          <w:rStyle w:val="sb8d990e2"/>
        </w:rPr>
        <w:t xml:space="preserve">Beyond submitting that the offences committed intentionally are “stronger”, the Government have not sought to explain how and why excluding </w:t>
      </w:r>
      <w:r w:rsidR="00FD06C5">
        <w:rPr>
          <w:rStyle w:val="sb8d990e2"/>
        </w:rPr>
        <w:t xml:space="preserve">all </w:t>
      </w:r>
      <w:r w:rsidR="00DB770B">
        <w:rPr>
          <w:rStyle w:val="sb8d990e2"/>
        </w:rPr>
        <w:t>persons convicted of having intentionally committed offences was reconcilable with the underlying purposes of Article 3 of Protocol No.</w:t>
      </w:r>
      <w:r w:rsidR="009338DF">
        <w:rPr>
          <w:rStyle w:val="sb8d990e2"/>
        </w:rPr>
        <w:t> </w:t>
      </w:r>
      <w:r w:rsidR="00DB770B">
        <w:rPr>
          <w:rStyle w:val="sb8d990e2"/>
        </w:rPr>
        <w:t xml:space="preserve">1 (see </w:t>
      </w:r>
      <w:r w:rsidR="00DB770B" w:rsidRPr="00352FB4">
        <w:rPr>
          <w:rStyle w:val="sb8d990e2"/>
          <w:i/>
        </w:rPr>
        <w:t>Scoppola</w:t>
      </w:r>
      <w:r w:rsidR="00DB770B" w:rsidRPr="00FF5378">
        <w:rPr>
          <w:i/>
          <w:lang w:val="it-IT" w:eastAsia="en-US"/>
        </w:rPr>
        <w:t>(no. 3)</w:t>
      </w:r>
      <w:r w:rsidR="00DB770B" w:rsidRPr="00FF5378">
        <w:rPr>
          <w:lang w:val="it-IT" w:eastAsia="en-US"/>
        </w:rPr>
        <w:t xml:space="preserve"> [GC</w:t>
      </w:r>
      <w:r w:rsidR="00DB770B">
        <w:rPr>
          <w:lang w:val="it-IT" w:eastAsia="en-US"/>
        </w:rPr>
        <w:t xml:space="preserve">], cited above, </w:t>
      </w:r>
      <w:r w:rsidR="00DB770B">
        <w:rPr>
          <w:szCs w:val="24"/>
          <w:lang w:eastAsia="en-US"/>
        </w:rPr>
        <w:t>§ 84).</w:t>
      </w:r>
    </w:p>
    <w:p w:rsidR="000543D0" w:rsidRPr="000543D0" w:rsidRDefault="003708D5" w:rsidP="000543D0">
      <w:pPr>
        <w:pStyle w:val="JuPara"/>
        <w:rPr>
          <w:szCs w:val="24"/>
          <w:lang w:val="en-US" w:eastAsia="en-US"/>
        </w:rPr>
      </w:pPr>
      <w:r>
        <w:rPr>
          <w:rStyle w:val="sb8d990e2"/>
        </w:rPr>
        <w:fldChar w:fldCharType="begin"/>
      </w:r>
      <w:r w:rsidR="000543D0">
        <w:rPr>
          <w:rStyle w:val="sb8d990e2"/>
        </w:rPr>
        <w:instrText xml:space="preserve"> SEQ level0 \*arabic </w:instrText>
      </w:r>
      <w:r>
        <w:rPr>
          <w:rStyle w:val="sb8d990e2"/>
        </w:rPr>
        <w:fldChar w:fldCharType="separate"/>
      </w:r>
      <w:r w:rsidR="00414CD4">
        <w:rPr>
          <w:rStyle w:val="sb8d990e2"/>
          <w:noProof/>
        </w:rPr>
        <w:t>43</w:t>
      </w:r>
      <w:r>
        <w:rPr>
          <w:rStyle w:val="sb8d990e2"/>
        </w:rPr>
        <w:fldChar w:fldCharType="end"/>
      </w:r>
      <w:r w:rsidR="000543D0">
        <w:rPr>
          <w:rStyle w:val="sb8d990e2"/>
        </w:rPr>
        <w:t>.  In any event, t</w:t>
      </w:r>
      <w:r w:rsidR="00DB770B">
        <w:rPr>
          <w:rStyle w:val="sb8d990e2"/>
        </w:rPr>
        <w:t xml:space="preserve">he Court </w:t>
      </w:r>
      <w:r w:rsidR="007C7064">
        <w:rPr>
          <w:rStyle w:val="sb8d990e2"/>
        </w:rPr>
        <w:t>observes that a</w:t>
      </w:r>
      <w:r w:rsidR="00F0434F">
        <w:rPr>
          <w:rStyle w:val="sb8d990e2"/>
        </w:rPr>
        <w:t xml:space="preserve"> similar </w:t>
      </w:r>
      <w:r w:rsidR="00A61EA8">
        <w:rPr>
          <w:rStyle w:val="sb8d990e2"/>
        </w:rPr>
        <w:t xml:space="preserve">legal </w:t>
      </w:r>
      <w:r w:rsidR="00F0434F">
        <w:rPr>
          <w:rStyle w:val="sb8d990e2"/>
        </w:rPr>
        <w:t xml:space="preserve">framework, in fact one more favourable to prisoners, </w:t>
      </w:r>
      <w:r w:rsidR="00A61EA8">
        <w:rPr>
          <w:rStyle w:val="sb8d990e2"/>
        </w:rPr>
        <w:t xml:space="preserve">has already been examined by the Court in its judgment in the above-mentioned case of </w:t>
      </w:r>
      <w:r w:rsidR="00A61EA8" w:rsidRPr="00A61EA8">
        <w:rPr>
          <w:rStyle w:val="sb8d990e2"/>
          <w:i/>
        </w:rPr>
        <w:t>Frodl</w:t>
      </w:r>
      <w:r w:rsidR="000543D0">
        <w:rPr>
          <w:rStyle w:val="sb8d990e2"/>
        </w:rPr>
        <w:t>. In Austria, only prisoners who ha</w:t>
      </w:r>
      <w:r w:rsidR="006C7612">
        <w:rPr>
          <w:rStyle w:val="sb8d990e2"/>
        </w:rPr>
        <w:t>ve</w:t>
      </w:r>
      <w:r w:rsidR="000543D0">
        <w:rPr>
          <w:rStyle w:val="sb8d990e2"/>
        </w:rPr>
        <w:t xml:space="preserve"> committed with intent </w:t>
      </w:r>
      <w:r w:rsidR="000543D0" w:rsidRPr="000543D0">
        <w:rPr>
          <w:szCs w:val="24"/>
          <w:lang w:val="en-US" w:eastAsia="en-US"/>
        </w:rPr>
        <w:t xml:space="preserve">one or more criminal offences </w:t>
      </w:r>
      <w:r w:rsidR="000543D0" w:rsidRPr="000543D0">
        <w:rPr>
          <w:szCs w:val="24"/>
          <w:lang w:val="en-US" w:eastAsia="en-US"/>
        </w:rPr>
        <w:lastRenderedPageBreak/>
        <w:t xml:space="preserve">and </w:t>
      </w:r>
      <w:r w:rsidR="006C7612">
        <w:rPr>
          <w:szCs w:val="24"/>
          <w:lang w:val="en-US" w:eastAsia="en-US"/>
        </w:rPr>
        <w:t xml:space="preserve">been </w:t>
      </w:r>
      <w:r w:rsidR="000543D0" w:rsidRPr="000543D0">
        <w:rPr>
          <w:szCs w:val="24"/>
          <w:lang w:val="en-US" w:eastAsia="en-US"/>
        </w:rPr>
        <w:t>sentenced with final effect to a term of imprisonment of more than one year</w:t>
      </w:r>
      <w:r w:rsidR="000543D0">
        <w:rPr>
          <w:szCs w:val="24"/>
          <w:lang w:val="en-US" w:eastAsia="en-US"/>
        </w:rPr>
        <w:t>,</w:t>
      </w:r>
      <w:r w:rsidR="000543D0" w:rsidRPr="000543D0">
        <w:rPr>
          <w:szCs w:val="24"/>
          <w:lang w:val="en-US" w:eastAsia="en-US"/>
        </w:rPr>
        <w:t xml:space="preserve"> forfeit the right to vote</w:t>
      </w:r>
      <w:r w:rsidR="000543D0">
        <w:rPr>
          <w:szCs w:val="24"/>
          <w:lang w:val="en-US" w:eastAsia="en-US"/>
        </w:rPr>
        <w:t>.</w:t>
      </w:r>
    </w:p>
    <w:p w:rsidR="00134401" w:rsidRDefault="003708D5" w:rsidP="001B5216">
      <w:pPr>
        <w:pStyle w:val="JuPara"/>
        <w:rPr>
          <w:lang w:eastAsia="en-US"/>
        </w:rPr>
      </w:pPr>
      <w:r>
        <w:rPr>
          <w:rStyle w:val="sb8d990e2"/>
        </w:rPr>
        <w:fldChar w:fldCharType="begin"/>
      </w:r>
      <w:r w:rsidR="00406BE4">
        <w:rPr>
          <w:rStyle w:val="sb8d990e2"/>
        </w:rPr>
        <w:instrText xml:space="preserve"> SEQ level0 \*arabic </w:instrText>
      </w:r>
      <w:r>
        <w:rPr>
          <w:rStyle w:val="sb8d990e2"/>
        </w:rPr>
        <w:fldChar w:fldCharType="separate"/>
      </w:r>
      <w:r w:rsidR="00414CD4">
        <w:rPr>
          <w:rStyle w:val="sb8d990e2"/>
          <w:noProof/>
        </w:rPr>
        <w:t>44</w:t>
      </w:r>
      <w:r>
        <w:rPr>
          <w:rStyle w:val="sb8d990e2"/>
        </w:rPr>
        <w:fldChar w:fldCharType="end"/>
      </w:r>
      <w:r w:rsidR="00406BE4">
        <w:rPr>
          <w:rStyle w:val="sb8d990e2"/>
        </w:rPr>
        <w:t xml:space="preserve">.  Furthermore, the </w:t>
      </w:r>
      <w:r w:rsidR="00406BE4" w:rsidRPr="00406BE4">
        <w:rPr>
          <w:rStyle w:val="sb8d990e2"/>
        </w:rPr>
        <w:t xml:space="preserve">Court observes that the </w:t>
      </w:r>
      <w:r w:rsidR="00406BE4">
        <w:rPr>
          <w:rStyle w:val="sb8d990e2"/>
        </w:rPr>
        <w:t>seriousness of the</w:t>
      </w:r>
      <w:r w:rsidR="00406BE4" w:rsidRPr="00406BE4">
        <w:rPr>
          <w:rStyle w:val="sb8d990e2"/>
        </w:rPr>
        <w:t>offence</w:t>
      </w:r>
      <w:r w:rsidR="004A689E">
        <w:rPr>
          <w:rStyle w:val="sb8d990e2"/>
        </w:rPr>
        <w:t>s</w:t>
      </w:r>
      <w:r w:rsidR="00406BE4" w:rsidRPr="00406BE4">
        <w:rPr>
          <w:rStyle w:val="sb8d990e2"/>
        </w:rPr>
        <w:t xml:space="preserve"> committed by the applicant in the case of </w:t>
      </w:r>
      <w:r w:rsidR="00406BE4" w:rsidRPr="00406BE4">
        <w:rPr>
          <w:i/>
          <w:lang w:eastAsia="en-US"/>
        </w:rPr>
        <w:t>Scoppola (no. 3)</w:t>
      </w:r>
      <w:r w:rsidR="00406BE4" w:rsidRPr="00406BE4">
        <w:rPr>
          <w:lang w:eastAsia="en-US"/>
        </w:rPr>
        <w:t xml:space="preserve"> was </w:t>
      </w:r>
      <w:r w:rsidR="00716872">
        <w:rPr>
          <w:lang w:eastAsia="en-US"/>
        </w:rPr>
        <w:t xml:space="preserve">one of the factors </w:t>
      </w:r>
      <w:r w:rsidR="001B5216">
        <w:rPr>
          <w:lang w:eastAsia="en-US"/>
        </w:rPr>
        <w:t xml:space="preserve">taken into account </w:t>
      </w:r>
      <w:r w:rsidR="004A689E">
        <w:rPr>
          <w:lang w:eastAsia="en-US"/>
        </w:rPr>
        <w:t xml:space="preserve">by the Grand Chamber in </w:t>
      </w:r>
      <w:r w:rsidR="001B5216">
        <w:rPr>
          <w:lang w:eastAsia="en-US"/>
        </w:rPr>
        <w:t xml:space="preserve">reaching </w:t>
      </w:r>
      <w:r w:rsidR="004A689E">
        <w:rPr>
          <w:lang w:eastAsia="en-US"/>
        </w:rPr>
        <w:t xml:space="preserve">its </w:t>
      </w:r>
      <w:r w:rsidR="001B5216">
        <w:rPr>
          <w:lang w:eastAsia="en-US"/>
        </w:rPr>
        <w:t xml:space="preserve">conclusion that the disenfranchisement in the </w:t>
      </w:r>
      <w:r w:rsidR="001B5216">
        <w:t xml:space="preserve">Italian system was not applied automatically or indiscriminately </w:t>
      </w:r>
      <w:r w:rsidR="003E62AF">
        <w:rPr>
          <w:lang w:eastAsia="en-US"/>
        </w:rPr>
        <w:t>(§ 107)</w:t>
      </w:r>
      <w:r w:rsidR="00716872">
        <w:rPr>
          <w:lang w:eastAsia="en-US"/>
        </w:rPr>
        <w:t xml:space="preserve">. In the present case, the </w:t>
      </w:r>
      <w:r w:rsidR="003E62AF">
        <w:rPr>
          <w:lang w:eastAsia="en-US"/>
        </w:rPr>
        <w:t xml:space="preserve">offence committed by the </w:t>
      </w:r>
      <w:r w:rsidR="00716872">
        <w:rPr>
          <w:lang w:eastAsia="en-US"/>
        </w:rPr>
        <w:t xml:space="preserve">applicant </w:t>
      </w:r>
      <w:r w:rsidR="003E62AF">
        <w:rPr>
          <w:lang w:eastAsia="en-US"/>
        </w:rPr>
        <w:t xml:space="preserve">was drawing cheques without having sufficient funds in his account. </w:t>
      </w:r>
      <w:r w:rsidR="00B42730">
        <w:rPr>
          <w:lang w:eastAsia="en-US"/>
        </w:rPr>
        <w:t>As such, t</w:t>
      </w:r>
      <w:r w:rsidR="003E62AF">
        <w:rPr>
          <w:lang w:eastAsia="en-US"/>
        </w:rPr>
        <w:t xml:space="preserve">he Court </w:t>
      </w:r>
      <w:r w:rsidR="00850507">
        <w:rPr>
          <w:lang w:eastAsia="en-US"/>
        </w:rPr>
        <w:t>considers that the applicant</w:t>
      </w:r>
      <w:r w:rsidR="00697AAB">
        <w:rPr>
          <w:lang w:eastAsia="en-US"/>
        </w:rPr>
        <w:t>’</w:t>
      </w:r>
      <w:r w:rsidR="00850507">
        <w:rPr>
          <w:lang w:eastAsia="en-US"/>
        </w:rPr>
        <w:t xml:space="preserve">s case illustrates the </w:t>
      </w:r>
      <w:r w:rsidR="001B5216">
        <w:rPr>
          <w:lang w:eastAsia="en-US"/>
        </w:rPr>
        <w:t xml:space="preserve">indiscriminate </w:t>
      </w:r>
      <w:r w:rsidR="00850507">
        <w:rPr>
          <w:lang w:eastAsia="en-US"/>
        </w:rPr>
        <w:t xml:space="preserve">application of the restriction even to persons convicted of </w:t>
      </w:r>
      <w:r w:rsidR="004C2695">
        <w:rPr>
          <w:lang w:eastAsia="en-US"/>
        </w:rPr>
        <w:t xml:space="preserve">relatively </w:t>
      </w:r>
      <w:r w:rsidR="00850507">
        <w:rPr>
          <w:lang w:eastAsia="en-US"/>
        </w:rPr>
        <w:t>minor offences.</w:t>
      </w:r>
      <w:r w:rsidR="00134401">
        <w:rPr>
          <w:lang w:eastAsia="en-US"/>
        </w:rPr>
        <w:t xml:space="preserve">The Court observes in this connection that drawing cheques without having sufficient funds in the </w:t>
      </w:r>
      <w:r w:rsidR="009338DF">
        <w:rPr>
          <w:lang w:eastAsia="en-US"/>
        </w:rPr>
        <w:t>bank account no longer carries a</w:t>
      </w:r>
      <w:r w:rsidR="00134401">
        <w:rPr>
          <w:lang w:eastAsia="en-US"/>
        </w:rPr>
        <w:t xml:space="preserve"> prison sentence (see paragraph </w:t>
      </w:r>
      <w:r w:rsidR="001961C9">
        <w:rPr>
          <w:lang w:eastAsia="en-US"/>
        </w:rPr>
        <w:t>18</w:t>
      </w:r>
      <w:r w:rsidR="00134401">
        <w:rPr>
          <w:lang w:eastAsia="en-US"/>
        </w:rPr>
        <w:t xml:space="preserve"> in “Relevant Dom</w:t>
      </w:r>
      <w:r w:rsidR="009338DF">
        <w:rPr>
          <w:lang w:eastAsia="en-US"/>
        </w:rPr>
        <w:t>estic Law and Practice” above).</w:t>
      </w:r>
    </w:p>
    <w:p w:rsidR="00C322BE" w:rsidRDefault="003708D5" w:rsidP="001B5216">
      <w:pPr>
        <w:pStyle w:val="JuPara"/>
        <w:rPr>
          <w:szCs w:val="24"/>
          <w:lang w:val="en-US" w:eastAsia="en-US"/>
        </w:rPr>
      </w:pPr>
      <w:r>
        <w:rPr>
          <w:lang w:eastAsia="en-US"/>
        </w:rPr>
        <w:fldChar w:fldCharType="begin"/>
      </w:r>
      <w:r w:rsidR="00134401">
        <w:rPr>
          <w:lang w:eastAsia="en-US"/>
        </w:rPr>
        <w:instrText xml:space="preserve"> SEQ level0 \*arabic </w:instrText>
      </w:r>
      <w:r>
        <w:rPr>
          <w:lang w:eastAsia="en-US"/>
        </w:rPr>
        <w:fldChar w:fldCharType="separate"/>
      </w:r>
      <w:r w:rsidR="00414CD4">
        <w:rPr>
          <w:noProof/>
          <w:lang w:eastAsia="en-US"/>
        </w:rPr>
        <w:t>45</w:t>
      </w:r>
      <w:r>
        <w:rPr>
          <w:lang w:eastAsia="en-US"/>
        </w:rPr>
        <w:fldChar w:fldCharType="end"/>
      </w:r>
      <w:r w:rsidR="00134401">
        <w:rPr>
          <w:lang w:eastAsia="en-US"/>
        </w:rPr>
        <w:t>.  </w:t>
      </w:r>
      <w:r w:rsidR="001B5216">
        <w:rPr>
          <w:lang w:eastAsia="en-US"/>
        </w:rPr>
        <w:t>Furthermore, having regard to the nature of the offence committed by the applicant,</w:t>
      </w:r>
      <w:r w:rsidR="00C322BE">
        <w:rPr>
          <w:lang w:eastAsia="en-US"/>
        </w:rPr>
        <w:t xml:space="preserve"> the Court is also unable to see a</w:t>
      </w:r>
      <w:r w:rsidR="00B42730">
        <w:rPr>
          <w:lang w:eastAsia="en-US"/>
        </w:rPr>
        <w:t xml:space="preserve">ny rational connection </w:t>
      </w:r>
      <w:r w:rsidR="00C322BE" w:rsidRPr="00C322BE">
        <w:rPr>
          <w:szCs w:val="24"/>
          <w:lang w:val="en-US" w:eastAsia="en-US"/>
        </w:rPr>
        <w:t>between the sanction and the conduct and circumstances of the</w:t>
      </w:r>
      <w:r w:rsidR="001B5216">
        <w:rPr>
          <w:szCs w:val="24"/>
          <w:lang w:val="en-US" w:eastAsia="en-US"/>
        </w:rPr>
        <w:t xml:space="preserve"> applicant</w:t>
      </w:r>
      <w:r w:rsidR="00C322BE" w:rsidRPr="00C322BE">
        <w:rPr>
          <w:szCs w:val="24"/>
          <w:lang w:val="en-US" w:eastAsia="en-US"/>
        </w:rPr>
        <w:t>.</w:t>
      </w:r>
      <w:r w:rsidR="00C322BE">
        <w:rPr>
          <w:szCs w:val="24"/>
          <w:lang w:val="en-US" w:eastAsia="en-US"/>
        </w:rPr>
        <w:t xml:space="preserve"> It </w:t>
      </w:r>
      <w:r w:rsidR="001B5216">
        <w:rPr>
          <w:szCs w:val="24"/>
          <w:lang w:val="en-US" w:eastAsia="en-US"/>
        </w:rPr>
        <w:t xml:space="preserve">reiterates in this connection that </w:t>
      </w:r>
      <w:r w:rsidR="00C322BE">
        <w:rPr>
          <w:szCs w:val="24"/>
          <w:lang w:val="en-US" w:eastAsia="en-US"/>
        </w:rPr>
        <w:t>t</w:t>
      </w:r>
      <w:r w:rsidR="00C322BE" w:rsidRPr="00C322BE">
        <w:rPr>
          <w:szCs w:val="24"/>
          <w:lang w:val="en-US" w:eastAsia="en-US"/>
        </w:rPr>
        <w:t xml:space="preserve">he severe measure of disenfranchisement </w:t>
      </w:r>
      <w:r w:rsidR="001B5216">
        <w:rPr>
          <w:szCs w:val="24"/>
          <w:lang w:val="en-US" w:eastAsia="en-US"/>
        </w:rPr>
        <w:t>must not be</w:t>
      </w:r>
      <w:r w:rsidR="00C322BE" w:rsidRPr="00C322BE">
        <w:rPr>
          <w:szCs w:val="24"/>
          <w:lang w:val="en-US" w:eastAsia="en-US"/>
        </w:rPr>
        <w:t>resorted to lightly</w:t>
      </w:r>
      <w:r w:rsidR="001B5216">
        <w:t xml:space="preserve">and that the principle of proportionality requires a discernible and sufficient link between the sanction and the conduct and circumstances of the individual concerned </w:t>
      </w:r>
      <w:r w:rsidR="00C322BE">
        <w:rPr>
          <w:szCs w:val="24"/>
          <w:lang w:val="en-US" w:eastAsia="en-US"/>
        </w:rPr>
        <w:t xml:space="preserve">(see </w:t>
      </w:r>
      <w:r w:rsidR="00C322BE" w:rsidRPr="00C52BA1">
        <w:rPr>
          <w:i/>
          <w:szCs w:val="24"/>
          <w:lang w:eastAsia="en-US"/>
        </w:rPr>
        <w:t>Hirst (no.</w:t>
      </w:r>
      <w:r w:rsidR="009338DF">
        <w:rPr>
          <w:i/>
          <w:szCs w:val="24"/>
          <w:lang w:eastAsia="en-US"/>
        </w:rPr>
        <w:t> </w:t>
      </w:r>
      <w:r w:rsidR="00C322BE" w:rsidRPr="00C52BA1">
        <w:rPr>
          <w:i/>
          <w:szCs w:val="24"/>
          <w:lang w:eastAsia="en-US"/>
        </w:rPr>
        <w:t>2)</w:t>
      </w:r>
      <w:r w:rsidR="00C322BE" w:rsidRPr="00C52BA1">
        <w:rPr>
          <w:szCs w:val="24"/>
          <w:lang w:eastAsia="en-US"/>
        </w:rPr>
        <w:t xml:space="preserve"> [GC]</w:t>
      </w:r>
      <w:r w:rsidR="00C322BE">
        <w:rPr>
          <w:szCs w:val="24"/>
          <w:lang w:eastAsia="en-US"/>
        </w:rPr>
        <w:t xml:space="preserve">, </w:t>
      </w:r>
      <w:r w:rsidR="00B42730">
        <w:rPr>
          <w:lang w:val="it-IT" w:eastAsia="en-US"/>
        </w:rPr>
        <w:t>cited above,</w:t>
      </w:r>
      <w:r w:rsidR="00C322BE">
        <w:rPr>
          <w:szCs w:val="24"/>
          <w:lang w:eastAsia="en-US"/>
        </w:rPr>
        <w:t>§ 71).</w:t>
      </w:r>
    </w:p>
    <w:p w:rsidR="00746EA1" w:rsidRDefault="003708D5" w:rsidP="00E12946">
      <w:pPr>
        <w:pStyle w:val="JuPara"/>
        <w:rPr>
          <w:szCs w:val="24"/>
          <w:lang w:eastAsia="en-US"/>
        </w:rPr>
      </w:pPr>
      <w:r w:rsidRPr="001B5216">
        <w:rPr>
          <w:lang w:eastAsia="en-US"/>
        </w:rPr>
        <w:fldChar w:fldCharType="begin"/>
      </w:r>
      <w:r w:rsidR="00746EA1" w:rsidRPr="001B5216">
        <w:rPr>
          <w:lang w:eastAsia="en-US"/>
        </w:rPr>
        <w:instrText xml:space="preserve"> SEQ level0 \*arabic </w:instrText>
      </w:r>
      <w:r w:rsidRPr="001B5216">
        <w:rPr>
          <w:lang w:eastAsia="en-US"/>
        </w:rPr>
        <w:fldChar w:fldCharType="separate"/>
      </w:r>
      <w:r w:rsidR="00414CD4">
        <w:rPr>
          <w:noProof/>
          <w:lang w:eastAsia="en-US"/>
        </w:rPr>
        <w:t>46</w:t>
      </w:r>
      <w:r w:rsidRPr="001B5216">
        <w:rPr>
          <w:lang w:eastAsia="en-US"/>
        </w:rPr>
        <w:fldChar w:fldCharType="end"/>
      </w:r>
      <w:r w:rsidR="00746EA1" w:rsidRPr="001B5216">
        <w:rPr>
          <w:lang w:eastAsia="en-US"/>
        </w:rPr>
        <w:t xml:space="preserve">.  In light of the above, the </w:t>
      </w:r>
      <w:r w:rsidR="001B5216">
        <w:rPr>
          <w:lang w:eastAsia="en-US"/>
        </w:rPr>
        <w:t xml:space="preserve">Court cannot conclude that the </w:t>
      </w:r>
      <w:r w:rsidR="00746EA1" w:rsidRPr="001B5216">
        <w:rPr>
          <w:lang w:eastAsia="en-US"/>
        </w:rPr>
        <w:t>legislature</w:t>
      </w:r>
      <w:r w:rsidR="007D29BF" w:rsidRPr="001B5216">
        <w:rPr>
          <w:lang w:eastAsia="en-US"/>
        </w:rPr>
        <w:t xml:space="preserve"> in Turkeyha</w:t>
      </w:r>
      <w:r w:rsidR="006C7612">
        <w:rPr>
          <w:lang w:eastAsia="en-US"/>
        </w:rPr>
        <w:t>s</w:t>
      </w:r>
      <w:r w:rsidR="00746EA1" w:rsidRPr="001B5216">
        <w:rPr>
          <w:lang w:eastAsia="en-US"/>
        </w:rPr>
        <w:t>show</w:t>
      </w:r>
      <w:r w:rsidR="007D29BF" w:rsidRPr="001B5216">
        <w:rPr>
          <w:lang w:eastAsia="en-US"/>
        </w:rPr>
        <w:t>n</w:t>
      </w:r>
      <w:r w:rsidR="00746EA1" w:rsidRPr="001B5216">
        <w:rPr>
          <w:lang w:eastAsia="en-US"/>
        </w:rPr>
        <w:t xml:space="preserve"> the requisite </w:t>
      </w:r>
      <w:r w:rsidR="00746EA1" w:rsidRPr="001B5216">
        <w:rPr>
          <w:rStyle w:val="sb8d990e2"/>
        </w:rPr>
        <w:t xml:space="preserve">concern </w:t>
      </w:r>
      <w:r w:rsidR="007D29BF" w:rsidRPr="001B5216">
        <w:rPr>
          <w:rStyle w:val="sb8d990e2"/>
        </w:rPr>
        <w:t>which, according to the Grand Chamber in the above</w:t>
      </w:r>
      <w:r w:rsidR="003F723A" w:rsidRPr="001B5216">
        <w:rPr>
          <w:rStyle w:val="sb8d990e2"/>
        </w:rPr>
        <w:t>-</w:t>
      </w:r>
      <w:r w:rsidR="007D29BF" w:rsidRPr="001B5216">
        <w:rPr>
          <w:rStyle w:val="sb8d990e2"/>
        </w:rPr>
        <w:t xml:space="preserve">mentioned case of </w:t>
      </w:r>
      <w:r w:rsidR="007D29BF" w:rsidRPr="001B5216">
        <w:rPr>
          <w:rStyle w:val="sb8d990e2"/>
          <w:i/>
        </w:rPr>
        <w:t>Scoppola (no.3)</w:t>
      </w:r>
      <w:r w:rsidR="007D29BF" w:rsidRPr="001B5216">
        <w:rPr>
          <w:rStyle w:val="sb8d990e2"/>
        </w:rPr>
        <w:t xml:space="preserve">, </w:t>
      </w:r>
      <w:r w:rsidR="00B22E07" w:rsidRPr="001B5216">
        <w:rPr>
          <w:rStyle w:val="sb8d990e2"/>
        </w:rPr>
        <w:t xml:space="preserve">should </w:t>
      </w:r>
      <w:r w:rsidR="00077967" w:rsidRPr="001B5216">
        <w:rPr>
          <w:rStyle w:val="sb8d990e2"/>
        </w:rPr>
        <w:t xml:space="preserve">exist in order </w:t>
      </w:r>
      <w:r w:rsidR="00B22E07" w:rsidRPr="001B5216">
        <w:rPr>
          <w:rStyle w:val="sb8d990e2"/>
        </w:rPr>
        <w:t xml:space="preserve">to </w:t>
      </w:r>
      <w:r w:rsidR="00746EA1" w:rsidRPr="001B5216">
        <w:rPr>
          <w:rStyle w:val="sb8d990e2"/>
        </w:rPr>
        <w:t xml:space="preserve">adjust the application of the measure to the particular circumstances of </w:t>
      </w:r>
      <w:r w:rsidR="001A6618">
        <w:rPr>
          <w:rStyle w:val="sb8d990e2"/>
        </w:rPr>
        <w:t>each</w:t>
      </w:r>
      <w:r w:rsidR="00746EA1" w:rsidRPr="001B5216">
        <w:rPr>
          <w:rStyle w:val="sb8d990e2"/>
        </w:rPr>
        <w:t xml:space="preserve"> case</w:t>
      </w:r>
      <w:r w:rsidR="00077967" w:rsidRPr="001B5216">
        <w:rPr>
          <w:rStyle w:val="sb8d990e2"/>
        </w:rPr>
        <w:t xml:space="preserve"> by</w:t>
      </w:r>
      <w:r w:rsidR="00746EA1" w:rsidRPr="001B5216">
        <w:rPr>
          <w:rStyle w:val="sb8d990e2"/>
        </w:rPr>
        <w:t xml:space="preserve"> taking into account such factors as the gravity of the offence committed and the conduct of the offender</w:t>
      </w:r>
      <w:r w:rsidR="00B22E07" w:rsidRPr="001B5216">
        <w:rPr>
          <w:rStyle w:val="sb8d990e2"/>
        </w:rPr>
        <w:t xml:space="preserve"> (</w:t>
      </w:r>
      <w:r w:rsidR="00B22E07" w:rsidRPr="006C7612">
        <w:rPr>
          <w:rStyle w:val="sb8d990e2"/>
          <w:i/>
        </w:rPr>
        <w:t>ibid</w:t>
      </w:r>
      <w:r w:rsidR="00B22E07" w:rsidRPr="001B5216">
        <w:rPr>
          <w:rStyle w:val="sb8d990e2"/>
        </w:rPr>
        <w:t>.</w:t>
      </w:r>
      <w:r w:rsidR="00B22E07" w:rsidRPr="001B5216">
        <w:rPr>
          <w:szCs w:val="24"/>
          <w:lang w:eastAsia="en-US"/>
        </w:rPr>
        <w:t xml:space="preserve"> § 106).</w:t>
      </w:r>
    </w:p>
    <w:p w:rsidR="00E12946" w:rsidRPr="00E12946" w:rsidRDefault="003708D5" w:rsidP="001B4ED5">
      <w:pPr>
        <w:pStyle w:val="JuPara"/>
        <w:rPr>
          <w:lang w:val="en-US" w:eastAsia="en-US"/>
        </w:rPr>
      </w:pPr>
      <w:r>
        <w:rPr>
          <w:lang w:eastAsia="en-US"/>
        </w:rPr>
        <w:fldChar w:fldCharType="begin"/>
      </w:r>
      <w:r w:rsidR="00E12946">
        <w:rPr>
          <w:lang w:eastAsia="en-US"/>
        </w:rPr>
        <w:instrText xml:space="preserve"> SEQ level0 \*arabic </w:instrText>
      </w:r>
      <w:r>
        <w:rPr>
          <w:lang w:eastAsia="en-US"/>
        </w:rPr>
        <w:fldChar w:fldCharType="separate"/>
      </w:r>
      <w:r w:rsidR="00414CD4">
        <w:rPr>
          <w:noProof/>
          <w:lang w:eastAsia="en-US"/>
        </w:rPr>
        <w:t>47</w:t>
      </w:r>
      <w:r>
        <w:rPr>
          <w:lang w:eastAsia="en-US"/>
        </w:rPr>
        <w:fldChar w:fldCharType="end"/>
      </w:r>
      <w:r w:rsidR="00E12946">
        <w:rPr>
          <w:lang w:eastAsia="en-US"/>
        </w:rPr>
        <w:t>.  </w:t>
      </w:r>
      <w:r w:rsidR="00E12946" w:rsidRPr="00E12946">
        <w:rPr>
          <w:lang w:val="en-US" w:eastAsia="en-US"/>
        </w:rPr>
        <w:t xml:space="preserve">The Court </w:t>
      </w:r>
      <w:r w:rsidR="001B4ED5">
        <w:rPr>
          <w:lang w:val="en-US" w:eastAsia="en-US"/>
        </w:rPr>
        <w:t>c</w:t>
      </w:r>
      <w:r w:rsidR="00E12946" w:rsidRPr="00E12946">
        <w:rPr>
          <w:lang w:val="en-US" w:eastAsia="en-US"/>
        </w:rPr>
        <w:t xml:space="preserve">oncludes </w:t>
      </w:r>
      <w:r w:rsidR="001B4ED5">
        <w:rPr>
          <w:lang w:val="en-US" w:eastAsia="en-US"/>
        </w:rPr>
        <w:t xml:space="preserve">that the </w:t>
      </w:r>
      <w:r w:rsidR="001B4ED5" w:rsidRPr="001B4ED5">
        <w:rPr>
          <w:lang w:val="en-US" w:eastAsia="en-US"/>
        </w:rPr>
        <w:t xml:space="preserve">automatic and indiscriminate </w:t>
      </w:r>
      <w:r w:rsidR="001B4ED5">
        <w:rPr>
          <w:lang w:val="en-US" w:eastAsia="en-US"/>
        </w:rPr>
        <w:t xml:space="preserve">application of the harsh measure in Turkey </w:t>
      </w:r>
      <w:r w:rsidR="001B4ED5" w:rsidRPr="001B4ED5">
        <w:rPr>
          <w:lang w:val="en-US" w:eastAsia="en-US"/>
        </w:rPr>
        <w:t>on a vitally important Convention right must be seen as falling outside any acceptable margin of appreciation</w:t>
      </w:r>
      <w:r w:rsidR="001B4ED5">
        <w:rPr>
          <w:lang w:val="en-US" w:eastAsia="en-US"/>
        </w:rPr>
        <w:t xml:space="preserve">, and </w:t>
      </w:r>
      <w:r w:rsidR="00E12946" w:rsidRPr="00E12946">
        <w:rPr>
          <w:lang w:val="en-US" w:eastAsia="en-US"/>
        </w:rPr>
        <w:t>that there has been a breach of Article 3 of Protocol No.</w:t>
      </w:r>
      <w:r w:rsidR="009338DF">
        <w:rPr>
          <w:lang w:val="en-US" w:eastAsia="en-US"/>
        </w:rPr>
        <w:t> </w:t>
      </w:r>
      <w:r w:rsidR="00E12946" w:rsidRPr="00E12946">
        <w:rPr>
          <w:lang w:val="en-US" w:eastAsia="en-US"/>
        </w:rPr>
        <w:t>1 in the present case.</w:t>
      </w:r>
    </w:p>
    <w:p w:rsidR="00760492" w:rsidRDefault="00760492">
      <w:pPr>
        <w:pStyle w:val="JuHIRoman"/>
      </w:pPr>
      <w:r>
        <w:t>II.</w:t>
      </w:r>
      <w:r w:rsidR="003F1D35">
        <w:t>  </w:t>
      </w:r>
      <w:r>
        <w:t xml:space="preserve">ALLEGED VIOLATION OF </w:t>
      </w:r>
      <w:r w:rsidRPr="00F00005">
        <w:t xml:space="preserve">ARTICLE </w:t>
      </w:r>
      <w:r>
        <w:t>3</w:t>
      </w:r>
      <w:r w:rsidRPr="00F00005">
        <w:t xml:space="preserve"> OF </w:t>
      </w:r>
      <w:r>
        <w:t>PROTOCOL NO. 1 IN CONJUNCTION WITH ARTICLE 14 OF THE CONVENTION</w:t>
      </w:r>
    </w:p>
    <w:p w:rsidR="00760492" w:rsidRDefault="003708D5" w:rsidP="00760492">
      <w:pPr>
        <w:pStyle w:val="JuPara"/>
      </w:pPr>
      <w:r>
        <w:fldChar w:fldCharType="begin"/>
      </w:r>
      <w:r w:rsidR="00760492">
        <w:instrText xml:space="preserve"> SEQ level0 \*arabic </w:instrText>
      </w:r>
      <w:r>
        <w:fldChar w:fldCharType="separate"/>
      </w:r>
      <w:r w:rsidR="00414CD4">
        <w:rPr>
          <w:noProof/>
        </w:rPr>
        <w:t>48</w:t>
      </w:r>
      <w:r>
        <w:fldChar w:fldCharType="end"/>
      </w:r>
      <w:r w:rsidR="00760492">
        <w:t>.  </w:t>
      </w:r>
      <w:r w:rsidR="00923327">
        <w:t>The applicant argued that his disenfranchisement as a convicted prisoner was discriminatory.</w:t>
      </w:r>
    </w:p>
    <w:p w:rsidR="00923327" w:rsidRPr="00923327" w:rsidRDefault="003708D5" w:rsidP="00760492">
      <w:pPr>
        <w:pStyle w:val="JuPara"/>
        <w:rPr>
          <w:i/>
        </w:rPr>
      </w:pPr>
      <w:r>
        <w:fldChar w:fldCharType="begin"/>
      </w:r>
      <w:r w:rsidR="00923327">
        <w:instrText xml:space="preserve"> SEQ level0 \*arabic </w:instrText>
      </w:r>
      <w:r>
        <w:fldChar w:fldCharType="separate"/>
      </w:r>
      <w:r w:rsidR="00414CD4">
        <w:rPr>
          <w:noProof/>
        </w:rPr>
        <w:t>49</w:t>
      </w:r>
      <w:r>
        <w:fldChar w:fldCharType="end"/>
      </w:r>
      <w:r w:rsidR="00923327">
        <w:t>.  The Court considers that this part of the application may be declared admissible. However, having regard to its conclusion above under Article 3 of Protocol No. 1, it finds</w:t>
      </w:r>
      <w:r w:rsidR="006C7612">
        <w:t xml:space="preserve"> that</w:t>
      </w:r>
      <w:r w:rsidR="00923327">
        <w:t xml:space="preserve"> no separate issue arises under Article 14 of the Convention (see </w:t>
      </w:r>
      <w:r w:rsidR="00923327">
        <w:rPr>
          <w:i/>
        </w:rPr>
        <w:t>Hirst (no.2)</w:t>
      </w:r>
      <w:r w:rsidR="00923327" w:rsidRPr="00923327">
        <w:t xml:space="preserve"> [GC]</w:t>
      </w:r>
      <w:r w:rsidR="00923327">
        <w:t>, cited above, § 87).</w:t>
      </w:r>
    </w:p>
    <w:p w:rsidR="00F71A6A" w:rsidRPr="00F00005" w:rsidRDefault="00750CD5">
      <w:pPr>
        <w:pStyle w:val="JuHIRoman"/>
      </w:pPr>
      <w:r>
        <w:lastRenderedPageBreak/>
        <w:t>II</w:t>
      </w:r>
      <w:r w:rsidR="00760492">
        <w:t>I</w:t>
      </w:r>
      <w:r w:rsidR="00F71A6A" w:rsidRPr="00F00005">
        <w:t>.  </w:t>
      </w:r>
      <w:r w:rsidR="00AC4F42">
        <w:t>O</w:t>
      </w:r>
      <w:r w:rsidR="00F71A6A" w:rsidRPr="00F00005">
        <w:t>THER ALLEGED VIOLATIONS OF THE CONVENTION</w:t>
      </w:r>
    </w:p>
    <w:p w:rsidR="00F71A6A"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50</w:t>
      </w:r>
      <w:r w:rsidRPr="00F00005">
        <w:fldChar w:fldCharType="end"/>
      </w:r>
      <w:r w:rsidR="00F71A6A" w:rsidRPr="00F00005">
        <w:t xml:space="preserve">.  Lastly, the </w:t>
      </w:r>
      <w:r w:rsidR="0005522C" w:rsidRPr="00F00005">
        <w:t>applicant</w:t>
      </w:r>
      <w:r w:rsidR="00F71A6A" w:rsidRPr="00F00005">
        <w:t xml:space="preserve"> complained </w:t>
      </w:r>
      <w:r w:rsidR="006C7612">
        <w:t xml:space="preserve">of </w:t>
      </w:r>
      <w:r w:rsidR="00750CD5">
        <w:t>a violation of Articles 6</w:t>
      </w:r>
      <w:r w:rsidR="001C6151">
        <w:t xml:space="preserve"> and</w:t>
      </w:r>
      <w:r w:rsidR="00750CD5">
        <w:t xml:space="preserve"> 13 of the Convention.</w:t>
      </w:r>
    </w:p>
    <w:p w:rsidR="00750CD5" w:rsidRPr="001C6151" w:rsidRDefault="003708D5" w:rsidP="002F4BCF">
      <w:pPr>
        <w:pStyle w:val="JuPara"/>
        <w:rPr>
          <w:i/>
        </w:rPr>
      </w:pPr>
      <w:r>
        <w:fldChar w:fldCharType="begin"/>
      </w:r>
      <w:r w:rsidR="00750CD5">
        <w:instrText xml:space="preserve"> SEQ level0 \*arabic </w:instrText>
      </w:r>
      <w:r>
        <w:fldChar w:fldCharType="separate"/>
      </w:r>
      <w:r w:rsidR="00414CD4">
        <w:rPr>
          <w:noProof/>
        </w:rPr>
        <w:t>51</w:t>
      </w:r>
      <w:r>
        <w:fldChar w:fldCharType="end"/>
      </w:r>
      <w:r w:rsidR="00750CD5">
        <w:t>.  </w:t>
      </w:r>
      <w:r w:rsidR="001C6151">
        <w:t>Having regard to the documents in its possession, the Court finds that this part of the application does not disclose any appearance of a violation of the Convention provisions. It follows that this part of the application is manifestly ill-founded and should be rejected in accordance with Article 35</w:t>
      </w:r>
      <w:r w:rsidR="00FF38E0">
        <w:t xml:space="preserve"> § 3 (a) and 4 of the Convention.</w:t>
      </w:r>
    </w:p>
    <w:p w:rsidR="00F71A6A" w:rsidRPr="00F00005" w:rsidRDefault="00750CD5">
      <w:pPr>
        <w:pStyle w:val="JuHIRoman"/>
      </w:pPr>
      <w:r>
        <w:t>I</w:t>
      </w:r>
      <w:r w:rsidR="00320FBE">
        <w:t>V</w:t>
      </w:r>
      <w:r w:rsidR="00F71A6A" w:rsidRPr="00F00005">
        <w:t>.  APPLICATION OF ARTICLE 41 OF THE CONVENTION</w:t>
      </w:r>
    </w:p>
    <w:p w:rsidR="00F71A6A" w:rsidRPr="00F00005" w:rsidRDefault="003708D5" w:rsidP="002F4BCF">
      <w:pPr>
        <w:pStyle w:val="JuPara"/>
        <w:keepNext/>
        <w:keepLines/>
      </w:pPr>
      <w:r w:rsidRPr="00F00005">
        <w:fldChar w:fldCharType="begin"/>
      </w:r>
      <w:r w:rsidR="00F00005" w:rsidRPr="00F00005">
        <w:instrText xml:space="preserve"> SEQ level0 \*arabic </w:instrText>
      </w:r>
      <w:r w:rsidRPr="00F00005">
        <w:fldChar w:fldCharType="separate"/>
      </w:r>
      <w:r w:rsidR="00414CD4">
        <w:rPr>
          <w:noProof/>
        </w:rPr>
        <w:t>52</w:t>
      </w:r>
      <w:r w:rsidRPr="00F00005">
        <w:fldChar w:fldCharType="end"/>
      </w:r>
      <w:r w:rsidR="00F71A6A" w:rsidRPr="00F00005">
        <w:t>.  Article 41 of the Convention provides:</w:t>
      </w:r>
    </w:p>
    <w:p w:rsidR="00F71A6A" w:rsidRPr="00F00005" w:rsidRDefault="00F71A6A">
      <w:pPr>
        <w:pStyle w:val="JuQuot"/>
        <w:keepNext/>
        <w:keepLines/>
      </w:pPr>
      <w:r w:rsidRPr="00F00005">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F00005" w:rsidRDefault="00F71A6A" w:rsidP="008824B9">
      <w:pPr>
        <w:pStyle w:val="JuHA"/>
        <w:keepLines w:val="0"/>
        <w:outlineLvl w:val="0"/>
      </w:pPr>
      <w:r w:rsidRPr="00F00005">
        <w:t>A.  Damage</w:t>
      </w:r>
    </w:p>
    <w:p w:rsidR="00F71A6A" w:rsidRPr="00F00005" w:rsidRDefault="003708D5" w:rsidP="002F4BCF">
      <w:pPr>
        <w:pStyle w:val="JuPara"/>
      </w:pPr>
      <w:r>
        <w:fldChar w:fldCharType="begin"/>
      </w:r>
      <w:r w:rsidR="00320FBE">
        <w:instrText xml:space="preserve"> SEQ level0 \*arabic </w:instrText>
      </w:r>
      <w:r>
        <w:fldChar w:fldCharType="separate"/>
      </w:r>
      <w:r w:rsidR="00414CD4">
        <w:rPr>
          <w:noProof/>
        </w:rPr>
        <w:t>53</w:t>
      </w:r>
      <w:r>
        <w:fldChar w:fldCharType="end"/>
      </w:r>
      <w:r w:rsidR="00320FBE">
        <w:t>.  </w:t>
      </w:r>
      <w:r w:rsidR="00F71A6A" w:rsidRPr="00F00005">
        <w:t xml:space="preserve">The </w:t>
      </w:r>
      <w:r w:rsidR="0005522C" w:rsidRPr="00F00005">
        <w:t>applicant</w:t>
      </w:r>
      <w:r w:rsidR="00F71A6A" w:rsidRPr="00F00005">
        <w:t xml:space="preserve"> claimed </w:t>
      </w:r>
      <w:r w:rsidR="00750CD5">
        <w:t>3,000</w:t>
      </w:r>
      <w:r w:rsidR="00F71A6A" w:rsidRPr="00F00005">
        <w:t xml:space="preserve"> euros (EUR) in respect of non-pecuniary damage.</w:t>
      </w:r>
    </w:p>
    <w:p w:rsidR="00F71A6A" w:rsidRPr="00F00005"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54</w:t>
      </w:r>
      <w:r w:rsidRPr="00F00005">
        <w:fldChar w:fldCharType="end"/>
      </w:r>
      <w:r w:rsidR="00F71A6A" w:rsidRPr="00F00005">
        <w:t xml:space="preserve">.  The Government </w:t>
      </w:r>
      <w:r w:rsidR="00F7088F">
        <w:t xml:space="preserve">considered that the finding of </w:t>
      </w:r>
      <w:r w:rsidR="00320FBE">
        <w:t>a violation would be sufficient to remedy any non-pecuniary damage.</w:t>
      </w:r>
    </w:p>
    <w:p w:rsidR="00F71A6A" w:rsidRPr="005C5E38"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55</w:t>
      </w:r>
      <w:r w:rsidRPr="00F00005">
        <w:fldChar w:fldCharType="end"/>
      </w:r>
      <w:r w:rsidR="00F71A6A" w:rsidRPr="00F00005">
        <w:t>.  </w:t>
      </w:r>
      <w:r w:rsidR="005C5E38">
        <w:t xml:space="preserve">Having regard to the circumstances of the case, the Court </w:t>
      </w:r>
      <w:r w:rsidR="00320FBE">
        <w:t xml:space="preserve">agrees with the </w:t>
      </w:r>
      <w:r w:rsidR="006C7612">
        <w:t>Government</w:t>
      </w:r>
      <w:r w:rsidR="00320FBE">
        <w:t xml:space="preserve"> and </w:t>
      </w:r>
      <w:r w:rsidR="005C5E38">
        <w:t xml:space="preserve">considers that the finding of a violation constitutes </w:t>
      </w:r>
      <w:r w:rsidR="006C7612">
        <w:t xml:space="preserve">sufficient </w:t>
      </w:r>
      <w:r w:rsidR="005C5E38">
        <w:t xml:space="preserve">just satisfaction for any non-pecuniary damage sustained by the applicant (see </w:t>
      </w:r>
      <w:r w:rsidR="005C5E38">
        <w:rPr>
          <w:i/>
        </w:rPr>
        <w:t xml:space="preserve">Hirst (no.2) </w:t>
      </w:r>
      <w:r w:rsidR="00D24160">
        <w:t>[GC], cited above, §§ 93-94).</w:t>
      </w:r>
    </w:p>
    <w:p w:rsidR="00F71A6A" w:rsidRPr="00F00005" w:rsidRDefault="00F71A6A" w:rsidP="008824B9">
      <w:pPr>
        <w:pStyle w:val="JuHA"/>
        <w:outlineLvl w:val="0"/>
      </w:pPr>
      <w:r w:rsidRPr="00F00005">
        <w:t>B.  Costs and expenses</w:t>
      </w:r>
    </w:p>
    <w:p w:rsidR="00F71A6A" w:rsidRPr="00F00005"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56</w:t>
      </w:r>
      <w:r w:rsidRPr="00F00005">
        <w:fldChar w:fldCharType="end"/>
      </w:r>
      <w:r w:rsidR="00F71A6A" w:rsidRPr="00F00005">
        <w:t xml:space="preserve">.  The </w:t>
      </w:r>
      <w:r w:rsidR="0005522C" w:rsidRPr="00F00005">
        <w:t>applicant</w:t>
      </w:r>
      <w:r w:rsidR="00F71A6A" w:rsidRPr="00F00005">
        <w:t xml:space="preserve"> claimed </w:t>
      </w:r>
      <w:r w:rsidR="00D24160">
        <w:t xml:space="preserve">EUR </w:t>
      </w:r>
      <w:r w:rsidR="00D66713">
        <w:t>91</w:t>
      </w:r>
      <w:r w:rsidR="00D24160">
        <w:t xml:space="preserve">2.50 </w:t>
      </w:r>
      <w:r w:rsidR="00F71A6A" w:rsidRPr="00F00005">
        <w:t xml:space="preserve">for the costs and expenses incurred before the domestic courts and EUR </w:t>
      </w:r>
      <w:r w:rsidR="00D24160">
        <w:t>2,450</w:t>
      </w:r>
      <w:r w:rsidR="00F71A6A" w:rsidRPr="00F00005">
        <w:t xml:space="preserve"> for those incurred before the Court.</w:t>
      </w:r>
      <w:r w:rsidR="00D66713">
        <w:t xml:space="preserve"> In support of his claim the applicant submitted to the Court a detailed breakdown of the costs incurred by him and his legal representative.</w:t>
      </w:r>
    </w:p>
    <w:p w:rsidR="00F71A6A" w:rsidRPr="00F00005" w:rsidRDefault="003708D5" w:rsidP="002F4BCF">
      <w:pPr>
        <w:pStyle w:val="JuPara"/>
      </w:pPr>
      <w:r w:rsidRPr="00F00005">
        <w:fldChar w:fldCharType="begin"/>
      </w:r>
      <w:r w:rsidR="00F00005" w:rsidRPr="00F00005">
        <w:instrText xml:space="preserve"> SEQ level0 \*arabic </w:instrText>
      </w:r>
      <w:r w:rsidRPr="00F00005">
        <w:fldChar w:fldCharType="separate"/>
      </w:r>
      <w:r w:rsidR="00414CD4">
        <w:rPr>
          <w:noProof/>
        </w:rPr>
        <w:t>57</w:t>
      </w:r>
      <w:r w:rsidRPr="00F00005">
        <w:fldChar w:fldCharType="end"/>
      </w:r>
      <w:r w:rsidR="00F71A6A" w:rsidRPr="00F00005">
        <w:t xml:space="preserve">.  The Government </w:t>
      </w:r>
      <w:r w:rsidR="00965B98">
        <w:t>thought that the applicant claimed EUR 6,362.50, and considered that sum to be excessive</w:t>
      </w:r>
      <w:r w:rsidR="006B0B3C">
        <w:t xml:space="preserve"> and unsupported by adequate documentation</w:t>
      </w:r>
      <w:r w:rsidR="00965B98">
        <w:t>. They also argued that no awards could be made for the applicant</w:t>
      </w:r>
      <w:r w:rsidR="00697AAB">
        <w:t>’</w:t>
      </w:r>
      <w:r w:rsidR="00965B98">
        <w:t>s costs and expenses incurred at the national level.</w:t>
      </w:r>
    </w:p>
    <w:p w:rsidR="00B536D2" w:rsidRPr="00B536D2" w:rsidRDefault="003708D5" w:rsidP="00B536D2">
      <w:pPr>
        <w:pStyle w:val="JuPara"/>
        <w:rPr>
          <w:lang w:val="en-US" w:eastAsia="en-US"/>
        </w:rPr>
      </w:pPr>
      <w:r w:rsidRPr="00B536D2">
        <w:fldChar w:fldCharType="begin"/>
      </w:r>
      <w:r w:rsidR="00F00005" w:rsidRPr="00B536D2">
        <w:instrText xml:space="preserve"> SEQ level0 \*arabic </w:instrText>
      </w:r>
      <w:r w:rsidRPr="00B536D2">
        <w:fldChar w:fldCharType="separate"/>
      </w:r>
      <w:r w:rsidR="00414CD4">
        <w:rPr>
          <w:noProof/>
        </w:rPr>
        <w:t>58</w:t>
      </w:r>
      <w:r w:rsidRPr="00B536D2">
        <w:fldChar w:fldCharType="end"/>
      </w:r>
      <w:r w:rsidR="00F71A6A" w:rsidRPr="00B536D2">
        <w:t>.  </w:t>
      </w:r>
      <w:r w:rsidR="00F00005" w:rsidRPr="00B536D2">
        <w:t>According to the Court</w:t>
      </w:r>
      <w:r w:rsidR="00697AAB">
        <w:t>’</w:t>
      </w:r>
      <w:r w:rsidR="00F00005" w:rsidRPr="00B536D2">
        <w:t xml:space="preserve">s case-law, an applicant is entitled to the reimbursement of costs and expenses only in so far as it has been shown that these have been actually and necessarily incurred and are reasonable as to quantum. </w:t>
      </w:r>
      <w:r w:rsidR="00B536D2" w:rsidRPr="00B536D2">
        <w:rPr>
          <w:szCs w:val="24"/>
          <w:lang w:val="en-US" w:eastAsia="en-US"/>
        </w:rPr>
        <w:t>In response to the Government</w:t>
      </w:r>
      <w:r w:rsidR="00697AAB">
        <w:rPr>
          <w:szCs w:val="24"/>
          <w:lang w:val="en-US" w:eastAsia="en-US"/>
        </w:rPr>
        <w:t>’</w:t>
      </w:r>
      <w:r w:rsidR="00B536D2" w:rsidRPr="00B536D2">
        <w:rPr>
          <w:szCs w:val="24"/>
          <w:lang w:val="en-US" w:eastAsia="en-US"/>
        </w:rPr>
        <w:t xml:space="preserve">s argument concerning the costs </w:t>
      </w:r>
      <w:r w:rsidR="00B536D2" w:rsidRPr="00B536D2">
        <w:rPr>
          <w:szCs w:val="24"/>
          <w:lang w:val="en-US" w:eastAsia="en-US"/>
        </w:rPr>
        <w:lastRenderedPageBreak/>
        <w:t>and expenses relating to the proceedings at the national level, the Court reiterates that, if it finds that there has been a violation of the Convention, it may award the applicant the costs and expenses incurred before the national courts for the prevention or redress of the violation (see</w:t>
      </w:r>
      <w:r w:rsidR="00B536D2" w:rsidRPr="00B536D2">
        <w:rPr>
          <w:i/>
          <w:lang w:val="en-US" w:eastAsia="en-US"/>
        </w:rPr>
        <w:t xml:space="preserve"> Société Colas Est and Others v. France</w:t>
      </w:r>
      <w:r w:rsidR="00B536D2" w:rsidRPr="00B536D2">
        <w:rPr>
          <w:lang w:val="en-US" w:eastAsia="en-US"/>
        </w:rPr>
        <w:t xml:space="preserve">, no. 37971/97, § </w:t>
      </w:r>
      <w:r w:rsidR="00B536D2">
        <w:rPr>
          <w:lang w:val="en-US" w:eastAsia="en-US"/>
        </w:rPr>
        <w:t>56</w:t>
      </w:r>
      <w:r w:rsidR="00B536D2" w:rsidRPr="00B536D2">
        <w:rPr>
          <w:lang w:val="en-US" w:eastAsia="en-US"/>
        </w:rPr>
        <w:t>, ECHR 2002</w:t>
      </w:r>
      <w:r w:rsidR="00B536D2" w:rsidRPr="00B536D2">
        <w:rPr>
          <w:lang w:val="en-US" w:eastAsia="en-US"/>
        </w:rPr>
        <w:noBreakHyphen/>
        <w:t>III</w:t>
      </w:r>
      <w:r w:rsidR="00B536D2" w:rsidRPr="00B536D2">
        <w:rPr>
          <w:szCs w:val="24"/>
          <w:lang w:val="en-US" w:eastAsia="en-US"/>
        </w:rPr>
        <w:t xml:space="preserve">, and the cases cited therein). In the present case the applicant brought the substance of </w:t>
      </w:r>
      <w:r w:rsidR="00B536D2">
        <w:rPr>
          <w:szCs w:val="24"/>
          <w:lang w:val="en-US" w:eastAsia="en-US"/>
        </w:rPr>
        <w:t xml:space="preserve">his </w:t>
      </w:r>
      <w:r w:rsidR="00B536D2" w:rsidRPr="00B536D2">
        <w:rPr>
          <w:szCs w:val="24"/>
          <w:lang w:val="en-US" w:eastAsia="en-US"/>
        </w:rPr>
        <w:t xml:space="preserve">Convention rights to the attention of </w:t>
      </w:r>
      <w:r w:rsidR="00B536D2">
        <w:rPr>
          <w:szCs w:val="24"/>
          <w:lang w:val="en-US" w:eastAsia="en-US"/>
        </w:rPr>
        <w:t xml:space="preserve">the national authorities </w:t>
      </w:r>
      <w:r w:rsidR="00B536D2" w:rsidRPr="00B536D2">
        <w:rPr>
          <w:szCs w:val="24"/>
          <w:lang w:val="en-US" w:eastAsia="en-US"/>
        </w:rPr>
        <w:t>(see paragraph</w:t>
      </w:r>
      <w:r w:rsidR="00435889">
        <w:rPr>
          <w:szCs w:val="24"/>
          <w:lang w:val="en-US" w:eastAsia="en-US"/>
        </w:rPr>
        <w:t> </w:t>
      </w:r>
      <w:r w:rsidR="001961C9">
        <w:rPr>
          <w:szCs w:val="24"/>
          <w:lang w:val="en-US" w:eastAsia="en-US"/>
        </w:rPr>
        <w:t xml:space="preserve">7 </w:t>
      </w:r>
      <w:r w:rsidR="00B536D2" w:rsidRPr="00B536D2">
        <w:rPr>
          <w:szCs w:val="24"/>
          <w:lang w:val="en-US" w:eastAsia="en-US"/>
        </w:rPr>
        <w:t>above). In the light of the foregoing, the Court considers that the applicant ha</w:t>
      </w:r>
      <w:r w:rsidR="00B536D2">
        <w:rPr>
          <w:szCs w:val="24"/>
          <w:lang w:val="en-US" w:eastAsia="en-US"/>
        </w:rPr>
        <w:t>s</w:t>
      </w:r>
      <w:r w:rsidR="00B536D2" w:rsidRPr="00B536D2">
        <w:rPr>
          <w:szCs w:val="24"/>
          <w:lang w:val="en-US" w:eastAsia="en-US"/>
        </w:rPr>
        <w:t xml:space="preserve"> a valid claim in respect of part of the costs and expenses incurred at the national level.</w:t>
      </w:r>
    </w:p>
    <w:p w:rsidR="00B536D2" w:rsidRPr="00B536D2" w:rsidRDefault="003708D5" w:rsidP="00B536D2">
      <w:pPr>
        <w:pStyle w:val="JuPara"/>
        <w:rPr>
          <w:szCs w:val="24"/>
          <w:lang w:val="en-US" w:eastAsia="en-US"/>
        </w:rPr>
      </w:pPr>
      <w:r>
        <w:rPr>
          <w:szCs w:val="24"/>
          <w:lang w:val="en-US" w:eastAsia="en-US"/>
        </w:rPr>
        <w:fldChar w:fldCharType="begin"/>
      </w:r>
      <w:r w:rsidR="00B536D2">
        <w:rPr>
          <w:szCs w:val="24"/>
          <w:lang w:val="en-US" w:eastAsia="en-US"/>
        </w:rPr>
        <w:instrText xml:space="preserve"> SEQ level0 \*arabic </w:instrText>
      </w:r>
      <w:r>
        <w:rPr>
          <w:szCs w:val="24"/>
          <w:lang w:val="en-US" w:eastAsia="en-US"/>
        </w:rPr>
        <w:fldChar w:fldCharType="separate"/>
      </w:r>
      <w:r w:rsidR="00414CD4">
        <w:rPr>
          <w:noProof/>
          <w:szCs w:val="24"/>
          <w:lang w:val="en-US" w:eastAsia="en-US"/>
        </w:rPr>
        <w:t>59</w:t>
      </w:r>
      <w:r>
        <w:rPr>
          <w:szCs w:val="24"/>
          <w:lang w:val="en-US" w:eastAsia="en-US"/>
        </w:rPr>
        <w:fldChar w:fldCharType="end"/>
      </w:r>
      <w:r w:rsidR="00B536D2">
        <w:rPr>
          <w:szCs w:val="24"/>
          <w:lang w:val="en-US" w:eastAsia="en-US"/>
        </w:rPr>
        <w:t>.  </w:t>
      </w:r>
      <w:r w:rsidR="00B536D2" w:rsidRPr="00B536D2">
        <w:rPr>
          <w:szCs w:val="24"/>
          <w:lang w:val="en-US" w:eastAsia="en-US"/>
        </w:rPr>
        <w:t>Regard being had to the documentation in its possession and the above criteria, the Court considers it reasonable to award the sum of EUR</w:t>
      </w:r>
      <w:r w:rsidR="00435889">
        <w:rPr>
          <w:szCs w:val="24"/>
          <w:lang w:val="en-US" w:eastAsia="en-US"/>
        </w:rPr>
        <w:t> </w:t>
      </w:r>
      <w:r w:rsidR="00B536D2">
        <w:rPr>
          <w:szCs w:val="24"/>
          <w:lang w:val="en-US" w:eastAsia="en-US"/>
        </w:rPr>
        <w:t>3</w:t>
      </w:r>
      <w:r w:rsidR="00B536D2" w:rsidRPr="00B536D2">
        <w:rPr>
          <w:szCs w:val="24"/>
          <w:lang w:val="en-US" w:eastAsia="en-US"/>
        </w:rPr>
        <w:t>,000 covering costs under all heads.</w:t>
      </w:r>
      <w:r w:rsidR="00F539C8">
        <w:rPr>
          <w:rStyle w:val="sb8d990e2"/>
        </w:rPr>
        <w:t xml:space="preserve">From this sum should be deducted the EUR 850 granted to the applicant by way of </w:t>
      </w:r>
      <w:bookmarkStart w:id="2" w:name="HIT13"/>
      <w:bookmarkEnd w:id="2"/>
      <w:r w:rsidR="00F539C8">
        <w:rPr>
          <w:rStyle w:val="sb8d990e2"/>
        </w:rPr>
        <w:t xml:space="preserve">legal </w:t>
      </w:r>
      <w:bookmarkStart w:id="3" w:name="HIT14"/>
      <w:bookmarkEnd w:id="3"/>
      <w:r w:rsidR="00F539C8">
        <w:rPr>
          <w:rStyle w:val="sb8d990e2"/>
        </w:rPr>
        <w:t>aid under the Council of Europe</w:t>
      </w:r>
      <w:r w:rsidR="00697AAB">
        <w:rPr>
          <w:rStyle w:val="sb8d990e2"/>
        </w:rPr>
        <w:t>’</w:t>
      </w:r>
      <w:r w:rsidR="00F539C8">
        <w:rPr>
          <w:rStyle w:val="sb8d990e2"/>
        </w:rPr>
        <w:t xml:space="preserve">s </w:t>
      </w:r>
      <w:bookmarkStart w:id="4" w:name="HIT15"/>
      <w:bookmarkEnd w:id="4"/>
      <w:r w:rsidR="00F539C8">
        <w:rPr>
          <w:rStyle w:val="sb8d990e2"/>
        </w:rPr>
        <w:t xml:space="preserve">legal </w:t>
      </w:r>
      <w:bookmarkStart w:id="5" w:name="HIT16"/>
      <w:bookmarkEnd w:id="5"/>
      <w:r w:rsidR="00F539C8">
        <w:rPr>
          <w:rStyle w:val="sb8d990e2"/>
        </w:rPr>
        <w:t xml:space="preserve">aid scheme (see paragraph </w:t>
      </w:r>
      <w:r w:rsidR="001961C9">
        <w:rPr>
          <w:rStyle w:val="sb8d990e2"/>
        </w:rPr>
        <w:t>2</w:t>
      </w:r>
      <w:r w:rsidR="00F539C8">
        <w:rPr>
          <w:rStyle w:val="sb8d990e2"/>
        </w:rPr>
        <w:t xml:space="preserve"> above).</w:t>
      </w:r>
    </w:p>
    <w:p w:rsidR="00F71A6A" w:rsidRPr="00F00005" w:rsidRDefault="00F71A6A" w:rsidP="008824B9">
      <w:pPr>
        <w:pStyle w:val="JuHA"/>
        <w:outlineLvl w:val="0"/>
      </w:pPr>
      <w:r w:rsidRPr="00F00005">
        <w:t>C.  Default interest</w:t>
      </w:r>
    </w:p>
    <w:p w:rsidR="00F71A6A" w:rsidRPr="00F00005" w:rsidRDefault="003708D5" w:rsidP="00151CCA">
      <w:pPr>
        <w:pStyle w:val="JuPara"/>
      </w:pPr>
      <w:r w:rsidRPr="00F00005">
        <w:fldChar w:fldCharType="begin"/>
      </w:r>
      <w:r w:rsidR="00F00005" w:rsidRPr="00F00005">
        <w:instrText xml:space="preserve"> SEQ level0 \*arabic </w:instrText>
      </w:r>
      <w:r w:rsidRPr="00F00005">
        <w:fldChar w:fldCharType="separate"/>
      </w:r>
      <w:r w:rsidR="00414CD4">
        <w:rPr>
          <w:noProof/>
        </w:rPr>
        <w:t>60</w:t>
      </w:r>
      <w:r w:rsidRPr="00F00005">
        <w:fldChar w:fldCharType="end"/>
      </w:r>
      <w:r w:rsidR="00F71A6A" w:rsidRPr="00F00005">
        <w:t xml:space="preserve">.  The Court considers it appropriate that the default interest </w:t>
      </w:r>
      <w:r w:rsidR="0034580F" w:rsidRPr="00F00005">
        <w:t xml:space="preserve">rate </w:t>
      </w:r>
      <w:r w:rsidR="00F71A6A" w:rsidRPr="00F00005">
        <w:t>should be based on the marginal lending rate of the European Central Bank, to which should be added three percentage points.</w:t>
      </w:r>
    </w:p>
    <w:p w:rsidR="00F71A6A" w:rsidRPr="00F00005" w:rsidRDefault="00F71A6A" w:rsidP="008824B9">
      <w:pPr>
        <w:pStyle w:val="JuHHead"/>
      </w:pPr>
      <w:r w:rsidRPr="00F00005">
        <w:t xml:space="preserve">FOR THESE REASONS, THE COURT </w:t>
      </w:r>
      <w:r w:rsidR="00F00005" w:rsidRPr="00F00005">
        <w:t>UNANIMOUSLY</w:t>
      </w:r>
    </w:p>
    <w:p w:rsidR="00F71A6A" w:rsidRPr="00F00005" w:rsidRDefault="00E316DD">
      <w:pPr>
        <w:pStyle w:val="JuList"/>
      </w:pPr>
      <w:r>
        <w:t>1</w:t>
      </w:r>
      <w:r w:rsidR="009F07CC" w:rsidRPr="00F00005">
        <w:t>.  </w:t>
      </w:r>
      <w:r w:rsidR="00F71A6A" w:rsidRPr="00F00005">
        <w:rPr>
          <w:i/>
        </w:rPr>
        <w:t>Declares</w:t>
      </w:r>
      <w:r w:rsidR="00F71A6A" w:rsidRPr="00F00005">
        <w:t xml:space="preserve"> the complaint</w:t>
      </w:r>
      <w:r w:rsidR="00ED4734">
        <w:t>s</w:t>
      </w:r>
      <w:r>
        <w:t xml:space="preserve">under </w:t>
      </w:r>
      <w:r w:rsidR="00ED4734">
        <w:t>Article</w:t>
      </w:r>
      <w:r w:rsidR="00435889">
        <w:t> </w:t>
      </w:r>
      <w:r w:rsidR="00ED4734">
        <w:t xml:space="preserve">14 of the Convention and </w:t>
      </w:r>
      <w:r>
        <w:t>Article</w:t>
      </w:r>
      <w:r w:rsidR="00D60BCB">
        <w:t> </w:t>
      </w:r>
      <w:r>
        <w:t>3 of Protocol No.</w:t>
      </w:r>
      <w:r w:rsidR="00435889">
        <w:t> </w:t>
      </w:r>
      <w:r>
        <w:t xml:space="preserve">1 to the Convention </w:t>
      </w:r>
      <w:r w:rsidR="00F71A6A" w:rsidRPr="00F00005">
        <w:t xml:space="preserve">admissible and the remainder of the </w:t>
      </w:r>
      <w:r w:rsidR="00F00005" w:rsidRPr="00F00005">
        <w:t>application</w:t>
      </w:r>
      <w:r w:rsidR="0011665B" w:rsidRPr="00F00005">
        <w:t xml:space="preserve"> inadmissible;</w:t>
      </w:r>
    </w:p>
    <w:p w:rsidR="00F71A6A" w:rsidRPr="00F00005" w:rsidRDefault="00F71A6A">
      <w:pPr>
        <w:pStyle w:val="JuList"/>
      </w:pPr>
    </w:p>
    <w:p w:rsidR="009F07CC" w:rsidRPr="00F00005" w:rsidRDefault="00E316DD" w:rsidP="009F07CC">
      <w:pPr>
        <w:pStyle w:val="JuList"/>
      </w:pPr>
      <w:r>
        <w:t>2</w:t>
      </w:r>
      <w:r w:rsidR="009F07CC" w:rsidRPr="00F00005">
        <w:t>.</w:t>
      </w:r>
      <w:r w:rsidR="00F71A6A" w:rsidRPr="00F00005">
        <w:t>  </w:t>
      </w:r>
      <w:r w:rsidR="00F71A6A" w:rsidRPr="00F00005">
        <w:rPr>
          <w:i/>
        </w:rPr>
        <w:t>Holds</w:t>
      </w:r>
      <w:r w:rsidR="00F71A6A" w:rsidRPr="00F00005">
        <w:t xml:space="preserve">that there has been a violation of Article </w:t>
      </w:r>
      <w:r>
        <w:t xml:space="preserve">3 of Protocol No. 1 to the </w:t>
      </w:r>
      <w:r w:rsidR="00F71A6A" w:rsidRPr="00F00005">
        <w:t>Convention;</w:t>
      </w:r>
    </w:p>
    <w:p w:rsidR="00F71A6A" w:rsidRPr="00F00005" w:rsidRDefault="00F71A6A">
      <w:pPr>
        <w:pStyle w:val="JuList"/>
      </w:pPr>
    </w:p>
    <w:p w:rsidR="00F71A6A" w:rsidRDefault="00E316DD">
      <w:pPr>
        <w:pStyle w:val="JuList"/>
      </w:pPr>
      <w:r>
        <w:t>3</w:t>
      </w:r>
      <w:r w:rsidR="00F71A6A" w:rsidRPr="00F00005">
        <w:t>.  </w:t>
      </w:r>
      <w:r w:rsidR="00F71A6A" w:rsidRPr="00F00005">
        <w:rPr>
          <w:i/>
        </w:rPr>
        <w:t>Holds</w:t>
      </w:r>
      <w:r w:rsidR="00F71A6A" w:rsidRPr="00F00005">
        <w:t xml:space="preserve">that there is no need to examine the complaint under Article </w:t>
      </w:r>
      <w:r w:rsidR="00ED4734">
        <w:t>14</w:t>
      </w:r>
      <w:r w:rsidR="00F71A6A" w:rsidRPr="00F00005">
        <w:t xml:space="preserve"> of the Convention;</w:t>
      </w:r>
    </w:p>
    <w:p w:rsidR="00E5339D" w:rsidRDefault="00E5339D">
      <w:pPr>
        <w:pStyle w:val="JuList"/>
      </w:pPr>
    </w:p>
    <w:p w:rsidR="00E5339D" w:rsidRDefault="00E5339D">
      <w:pPr>
        <w:pStyle w:val="JuList"/>
      </w:pPr>
      <w:r>
        <w:t>4.</w:t>
      </w:r>
      <w:r w:rsidR="00D60BCB">
        <w:t>  </w:t>
      </w:r>
      <w:r w:rsidRPr="00F00005">
        <w:rPr>
          <w:i/>
        </w:rPr>
        <w:t>Holds</w:t>
      </w:r>
      <w:r>
        <w:t xml:space="preserve"> that the finding of a violation constitutes in itself sufficient just satisfaction for any non-pecuniary damage sustained by the applicant;</w:t>
      </w:r>
    </w:p>
    <w:p w:rsidR="00E316DD" w:rsidRPr="00F00005" w:rsidRDefault="00E316DD">
      <w:pPr>
        <w:pStyle w:val="JuList"/>
      </w:pPr>
    </w:p>
    <w:p w:rsidR="003104E9" w:rsidRPr="00F00005" w:rsidRDefault="00E5339D" w:rsidP="00901475">
      <w:pPr>
        <w:pStyle w:val="JuList"/>
      </w:pPr>
      <w:r>
        <w:t>5</w:t>
      </w:r>
      <w:r w:rsidR="00F71A6A" w:rsidRPr="00F00005">
        <w:t>.  </w:t>
      </w:r>
      <w:r w:rsidR="00F71A6A" w:rsidRPr="00F00005">
        <w:rPr>
          <w:i/>
        </w:rPr>
        <w:t>Holds</w:t>
      </w:r>
    </w:p>
    <w:p w:rsidR="003104E9" w:rsidRPr="00F00005" w:rsidRDefault="00C32950" w:rsidP="003F1D35">
      <w:pPr>
        <w:pStyle w:val="JuLista"/>
      </w:pPr>
      <w:r>
        <w:t xml:space="preserve">(a) </w:t>
      </w:r>
      <w:r w:rsidR="003104E9" w:rsidRPr="00F00005">
        <w:t xml:space="preserve">that the respondent State is to </w:t>
      </w:r>
      <w:r w:rsidR="00901475" w:rsidRPr="00F00005">
        <w:t xml:space="preserve">pay </w:t>
      </w:r>
      <w:r w:rsidR="003104E9" w:rsidRPr="00F00005">
        <w:t xml:space="preserve">the </w:t>
      </w:r>
      <w:r w:rsidR="0005522C" w:rsidRPr="00F00005">
        <w:t>applicant</w:t>
      </w:r>
      <w:smartTag w:uri="urn:schemas-microsoft-com:office:smarttags" w:element="PersonName">
        <w:r w:rsidR="003104E9" w:rsidRPr="00F00005">
          <w:t>,</w:t>
        </w:r>
      </w:smartTag>
      <w:r w:rsidR="003104E9" w:rsidRPr="00F00005">
        <w:t xml:space="preserve"> within three months</w:t>
      </w:r>
      <w:r w:rsidR="00F00005" w:rsidRPr="00F00005">
        <w:t>from the date on which the judgment becomes final in accordance with Article 44 § 2 of the Convention,</w:t>
      </w:r>
      <w:r w:rsidRPr="00435889">
        <w:t>EUR</w:t>
      </w:r>
      <w:r w:rsidR="00435889">
        <w:t> </w:t>
      </w:r>
      <w:r w:rsidRPr="00435889">
        <w:t>3</w:t>
      </w:r>
      <w:r>
        <w:t>,</w:t>
      </w:r>
      <w:r w:rsidR="00B536D2">
        <w:t xml:space="preserve">000 </w:t>
      </w:r>
      <w:r>
        <w:t xml:space="preserve">(three thousand euros), </w:t>
      </w:r>
      <w:r w:rsidR="00F539C8">
        <w:t xml:space="preserve">less the EUR 850 (eight hundred and fifty euros) </w:t>
      </w:r>
      <w:r w:rsidR="00F539C8">
        <w:lastRenderedPageBreak/>
        <w:t xml:space="preserve">granted by way of </w:t>
      </w:r>
      <w:bookmarkStart w:id="6" w:name="HIT17"/>
      <w:bookmarkEnd w:id="6"/>
      <w:r w:rsidR="00F539C8">
        <w:t xml:space="preserve">legal </w:t>
      </w:r>
      <w:bookmarkStart w:id="7" w:name="HIT18"/>
      <w:bookmarkEnd w:id="7"/>
      <w:r w:rsidR="00F539C8">
        <w:t xml:space="preserve">aid, </w:t>
      </w:r>
      <w:r w:rsidR="006C7612" w:rsidRPr="00F00005">
        <w:t xml:space="preserve">to be converted into </w:t>
      </w:r>
      <w:r w:rsidR="006C7612" w:rsidRPr="00F00005">
        <w:rPr>
          <w:color w:val="000000"/>
        </w:rPr>
        <w:t>the currency of the respondent State</w:t>
      </w:r>
      <w:r w:rsidR="006C7612" w:rsidRPr="00F00005">
        <w:t>at the rate applicable at the date of settlement</w:t>
      </w:r>
      <w:r w:rsidR="006C7612">
        <w:t xml:space="preserve">, </w:t>
      </w:r>
      <w:r>
        <w:t>plus any tax that may be chargeable to the applicant, in respect of his costs and expenses</w:t>
      </w:r>
      <w:r w:rsidR="00B536D2">
        <w:t>;</w:t>
      </w:r>
    </w:p>
    <w:p w:rsidR="003104E9" w:rsidRPr="00F00005" w:rsidRDefault="003104E9" w:rsidP="003F1D35">
      <w:pPr>
        <w:pStyle w:val="JuLista"/>
      </w:pPr>
    </w:p>
    <w:p w:rsidR="003104E9" w:rsidRPr="00F00005" w:rsidRDefault="003104E9" w:rsidP="003F1D35">
      <w:pPr>
        <w:pStyle w:val="JuLista"/>
      </w:pPr>
      <w:r w:rsidRPr="00F00005">
        <w:t>(b)  that from the expiry of the above-mentioned three months until settlement simple interest shall be payable on the above amount at a rate equal to the marginal lending rate of the European Central Bank during the default period plus three percentage points;</w:t>
      </w:r>
    </w:p>
    <w:p w:rsidR="00F71A6A" w:rsidRPr="00F00005" w:rsidRDefault="00F71A6A">
      <w:pPr>
        <w:pStyle w:val="JuList"/>
      </w:pPr>
    </w:p>
    <w:p w:rsidR="00F71A6A" w:rsidRPr="00F00005" w:rsidRDefault="00C32950">
      <w:pPr>
        <w:pStyle w:val="JuList"/>
      </w:pPr>
      <w:r>
        <w:t>6</w:t>
      </w:r>
      <w:r w:rsidR="00F71A6A" w:rsidRPr="00F00005">
        <w:t>.  </w:t>
      </w:r>
      <w:r w:rsidR="00F71A6A" w:rsidRPr="00F00005">
        <w:rPr>
          <w:i/>
        </w:rPr>
        <w:t>Dismisses</w:t>
      </w:r>
      <w:r w:rsidR="00F71A6A" w:rsidRPr="00F00005">
        <w:t xml:space="preserve"> the remainder of the </w:t>
      </w:r>
      <w:r w:rsidR="005F4753" w:rsidRPr="00F00005">
        <w:t>applicant</w:t>
      </w:r>
      <w:r w:rsidR="00697AAB">
        <w:t>’</w:t>
      </w:r>
      <w:r w:rsidR="00F00005" w:rsidRPr="00F00005">
        <w:t>s</w:t>
      </w:r>
      <w:r w:rsidR="00F71A6A" w:rsidRPr="00F00005">
        <w:t xml:space="preserve"> claim for just satisfaction.</w:t>
      </w:r>
    </w:p>
    <w:p w:rsidR="00325C2B" w:rsidRPr="00F00005" w:rsidRDefault="00F71A6A" w:rsidP="00325C2B">
      <w:pPr>
        <w:pStyle w:val="JuParaLast"/>
      </w:pPr>
      <w:r w:rsidRPr="00F00005">
        <w:t xml:space="preserve">Done in English, and notified in writing on </w:t>
      </w:r>
      <w:r w:rsidR="00F53602">
        <w:t>17 September 2013</w:t>
      </w:r>
      <w:r w:rsidRPr="00F00005">
        <w:t>, pursuant to Rule77§§2 and3 of the Rules of Court.</w:t>
      </w:r>
    </w:p>
    <w:p w:rsidR="0079187F" w:rsidRPr="00F00005" w:rsidRDefault="00325C2B" w:rsidP="00C01E1C">
      <w:pPr>
        <w:pStyle w:val="JuSigned"/>
        <w:keepNext/>
        <w:keepLines/>
      </w:pPr>
      <w:r w:rsidRPr="00F00005">
        <w:tab/>
      </w:r>
      <w:r w:rsidR="00F00005" w:rsidRPr="00F00005">
        <w:t>Stanley Naismith</w:t>
      </w:r>
      <w:r w:rsidR="00A8381C" w:rsidRPr="00F00005">
        <w:tab/>
      </w:r>
      <w:r w:rsidR="00F00005" w:rsidRPr="00F00005">
        <w:rPr>
          <w:szCs w:val="24"/>
        </w:rPr>
        <w:t>Guido Raimondi</w:t>
      </w:r>
      <w:r w:rsidR="003F1D35">
        <w:rPr>
          <w:szCs w:val="24"/>
        </w:rPr>
        <w:br/>
      </w:r>
      <w:r w:rsidR="00A8381C" w:rsidRPr="00F00005">
        <w:tab/>
      </w:r>
      <w:r w:rsidR="00F00005" w:rsidRPr="00F00005">
        <w:rPr>
          <w:iCs/>
        </w:rPr>
        <w:t>Registrar</w:t>
      </w:r>
      <w:r w:rsidR="00A8381C" w:rsidRPr="00F00005">
        <w:tab/>
        <w:t>President</w:t>
      </w:r>
    </w:p>
    <w:sectPr w:rsidR="0079187F" w:rsidRPr="00F00005" w:rsidSect="0070652B">
      <w:headerReference w:type="even" r:id="rId13"/>
      <w:headerReference w:type="default" r:id="rId14"/>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30B" w:rsidRDefault="0067730B">
      <w:r>
        <w:separator/>
      </w:r>
    </w:p>
  </w:endnote>
  <w:endnote w:type="continuationSeparator" w:id="1">
    <w:p w:rsidR="0067730B" w:rsidRDefault="006773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2B" w:rsidRPr="00150BFA" w:rsidRDefault="00414CD4" w:rsidP="000E578D">
    <w:pPr>
      <w:jc w:val="center"/>
      <w:rPr>
        <w:sz w:val="4"/>
        <w:szCs w:val="4"/>
      </w:rPr>
    </w:pPr>
    <w:r>
      <w:rPr>
        <w:noProof/>
        <w:sz w:val="4"/>
        <w:szCs w:val="4"/>
        <w:lang w:val="tr-TR" w:eastAsia="tr-TR"/>
      </w:rPr>
      <w:drawing>
        <wp:inline distT="0" distB="0" distL="0" distR="0">
          <wp:extent cx="7620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09600"/>
                  </a:xfrm>
                  <a:prstGeom prst="rect">
                    <a:avLst/>
                  </a:prstGeom>
                  <a:noFill/>
                  <a:ln>
                    <a:noFill/>
                  </a:ln>
                </pic:spPr>
              </pic:pic>
            </a:graphicData>
          </a:graphic>
        </wp:inline>
      </w:drawing>
    </w:r>
  </w:p>
  <w:p w:rsidR="0070652B" w:rsidRDefault="0070652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30B" w:rsidRDefault="0067730B">
      <w:r>
        <w:separator/>
      </w:r>
    </w:p>
  </w:footnote>
  <w:footnote w:type="continuationSeparator" w:id="1">
    <w:p w:rsidR="0067730B" w:rsidRDefault="00677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C1B" w:rsidRPr="0070652B" w:rsidRDefault="00294C1B" w:rsidP="0070652B">
    <w:pPr>
      <w:pStyle w:val="stbilgi"/>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2B" w:rsidRPr="00C00F0F" w:rsidRDefault="00414CD4">
    <w:pPr>
      <w:pStyle w:val="stbilgi"/>
      <w:jc w:val="center"/>
      <w:rPr>
        <w:sz w:val="4"/>
        <w:szCs w:val="4"/>
      </w:rPr>
    </w:pPr>
    <w:bookmarkStart w:id="1" w:name="_GoBack"/>
    <w:r>
      <w:rPr>
        <w:noProof/>
        <w:sz w:val="4"/>
        <w:szCs w:val="4"/>
        <w:lang w:val="tr-TR" w:eastAsia="tr-TR"/>
      </w:rPr>
      <w:drawing>
        <wp:inline distT="0" distB="0" distL="0" distR="0">
          <wp:extent cx="2944495" cy="1219200"/>
          <wp:effectExtent l="0" t="0" r="8255" b="0"/>
          <wp:docPr id="1" name="Picture 3" descr="Description: 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R:\1_Graphics&amp;Web\Court_Graphic_Charter\2013\ECHR_Stationery\Documents\Cover_Page\ECHR_CoverpageCS6_ECHR_Coverpage_Header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4495" cy="1219200"/>
                  </a:xfrm>
                  <a:prstGeom prst="rect">
                    <a:avLst/>
                  </a:prstGeom>
                  <a:noFill/>
                  <a:ln>
                    <a:noFill/>
                  </a:ln>
                </pic:spPr>
              </pic:pic>
            </a:graphicData>
          </a:graphic>
        </wp:inline>
      </w:drawing>
    </w:r>
    <w:bookmarkEnd w:id="1"/>
  </w:p>
  <w:p w:rsidR="0070652B" w:rsidRDefault="0070652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2B" w:rsidRDefault="003708D5">
    <w:pPr>
      <w:pStyle w:val="JuHeader"/>
    </w:pPr>
    <w:r>
      <w:rPr>
        <w:rStyle w:val="SayfaNumaras"/>
      </w:rPr>
      <w:fldChar w:fldCharType="begin"/>
    </w:r>
    <w:r w:rsidR="0070652B">
      <w:rPr>
        <w:rStyle w:val="SayfaNumaras"/>
      </w:rPr>
      <w:instrText xml:space="preserve"> PAGE </w:instrText>
    </w:r>
    <w:r>
      <w:rPr>
        <w:rStyle w:val="SayfaNumaras"/>
      </w:rPr>
      <w:fldChar w:fldCharType="separate"/>
    </w:r>
    <w:r w:rsidR="00C860D4">
      <w:rPr>
        <w:rStyle w:val="SayfaNumaras"/>
        <w:noProof/>
      </w:rPr>
      <w:t>12</w:t>
    </w:r>
    <w:r>
      <w:rPr>
        <w:rStyle w:val="SayfaNumaras"/>
      </w:rPr>
      <w:fldChar w:fldCharType="end"/>
    </w:r>
    <w:r w:rsidR="0070652B">
      <w:tab/>
      <w:t xml:space="preserve">SÖYLER v. </w:t>
    </w:r>
    <w:smartTag w:uri="urn:schemas-microsoft-com:office:smarttags" w:element="place">
      <w:smartTag w:uri="urn:schemas-microsoft-com:office:smarttags" w:element="country-region">
        <w:r w:rsidR="0070652B">
          <w:t>TURKEY</w:t>
        </w:r>
      </w:smartTag>
    </w:smartTag>
    <w:r w:rsidR="0070652B">
      <w:t xml:space="preserve">  JUDGMENT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2B" w:rsidRDefault="0070652B">
    <w:pPr>
      <w:pStyle w:val="JuHeader"/>
    </w:pPr>
    <w:r>
      <w:tab/>
      <w:t>SÖYLER v. TURKEYJUDGMENT</w:t>
    </w:r>
    <w:r>
      <w:tab/>
    </w:r>
    <w:r w:rsidR="003708D5">
      <w:rPr>
        <w:rStyle w:val="SayfaNumaras"/>
      </w:rPr>
      <w:fldChar w:fldCharType="begin"/>
    </w:r>
    <w:r>
      <w:rPr>
        <w:rStyle w:val="SayfaNumaras"/>
      </w:rPr>
      <w:instrText xml:space="preserve"> PAGE </w:instrText>
    </w:r>
    <w:r w:rsidR="003708D5">
      <w:rPr>
        <w:rStyle w:val="SayfaNumaras"/>
      </w:rPr>
      <w:fldChar w:fldCharType="separate"/>
    </w:r>
    <w:r w:rsidR="00C860D4">
      <w:rPr>
        <w:rStyle w:val="SayfaNumaras"/>
        <w:noProof/>
      </w:rPr>
      <w:t>13</w:t>
    </w:r>
    <w:r w:rsidR="003708D5">
      <w:rPr>
        <w:rStyle w:val="SayfaNumara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2AEF230"/>
    <w:lvl w:ilvl="0">
      <w:start w:val="1"/>
      <w:numFmt w:val="decimal"/>
      <w:lvlText w:val="%1."/>
      <w:lvlJc w:val="left"/>
      <w:pPr>
        <w:tabs>
          <w:tab w:val="num" w:pos="1492"/>
        </w:tabs>
        <w:ind w:left="1492" w:hanging="360"/>
      </w:pPr>
    </w:lvl>
  </w:abstractNum>
  <w:abstractNum w:abstractNumId="1">
    <w:nsid w:val="FFFFFF7D"/>
    <w:multiLevelType w:val="singleLevel"/>
    <w:tmpl w:val="B2FA9AD8"/>
    <w:lvl w:ilvl="0">
      <w:start w:val="1"/>
      <w:numFmt w:val="decimal"/>
      <w:lvlText w:val="%1."/>
      <w:lvlJc w:val="left"/>
      <w:pPr>
        <w:tabs>
          <w:tab w:val="num" w:pos="1209"/>
        </w:tabs>
        <w:ind w:left="1209" w:hanging="360"/>
      </w:pPr>
    </w:lvl>
  </w:abstractNum>
  <w:abstractNum w:abstractNumId="2">
    <w:nsid w:val="FFFFFF7E"/>
    <w:multiLevelType w:val="singleLevel"/>
    <w:tmpl w:val="A1827F9A"/>
    <w:lvl w:ilvl="0">
      <w:start w:val="1"/>
      <w:numFmt w:val="decimal"/>
      <w:lvlText w:val="%1."/>
      <w:lvlJc w:val="left"/>
      <w:pPr>
        <w:tabs>
          <w:tab w:val="num" w:pos="926"/>
        </w:tabs>
        <w:ind w:left="926" w:hanging="360"/>
      </w:pPr>
    </w:lvl>
  </w:abstractNum>
  <w:abstractNum w:abstractNumId="3">
    <w:nsid w:val="FFFFFF7F"/>
    <w:multiLevelType w:val="singleLevel"/>
    <w:tmpl w:val="C4FCAB56"/>
    <w:lvl w:ilvl="0">
      <w:start w:val="1"/>
      <w:numFmt w:val="decimal"/>
      <w:lvlText w:val="%1."/>
      <w:lvlJc w:val="left"/>
      <w:pPr>
        <w:tabs>
          <w:tab w:val="num" w:pos="643"/>
        </w:tabs>
        <w:ind w:left="643" w:hanging="360"/>
      </w:pPr>
    </w:lvl>
  </w:abstractNum>
  <w:abstractNum w:abstractNumId="4">
    <w:nsid w:val="FFFFFF80"/>
    <w:multiLevelType w:val="singleLevel"/>
    <w:tmpl w:val="02105D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E654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8CBA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D42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F852BE"/>
    <w:lvl w:ilvl="0">
      <w:start w:val="1"/>
      <w:numFmt w:val="decimal"/>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67FD1241"/>
    <w:multiLevelType w:val="hybridMultilevel"/>
    <w:tmpl w:val="F6D86CC2"/>
    <w:lvl w:ilvl="0" w:tplc="E4205412">
      <w:start w:val="1"/>
      <w:numFmt w:val="bullet"/>
      <w:pStyle w:val="ListeMaddemi"/>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1"/>
  </w:num>
  <w:num w:numId="4">
    <w:abstractNumId w:val="11"/>
  </w:num>
  <w:num w:numId="5">
    <w:abstractNumId w:val="11"/>
  </w:num>
  <w:num w:numId="6">
    <w:abstractNumId w:val="11"/>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5F04"/>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0"/>
    <w:footnote w:id="1"/>
  </w:footnotePr>
  <w:endnotePr>
    <w:endnote w:id="0"/>
    <w:endnote w:id="1"/>
  </w:endnotePr>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F00005"/>
    <w:rsid w:val="000013A8"/>
    <w:rsid w:val="00001CC5"/>
    <w:rsid w:val="00002DD1"/>
    <w:rsid w:val="000042D1"/>
    <w:rsid w:val="00007B38"/>
    <w:rsid w:val="00012C87"/>
    <w:rsid w:val="00013894"/>
    <w:rsid w:val="00013F4B"/>
    <w:rsid w:val="00033160"/>
    <w:rsid w:val="00033881"/>
    <w:rsid w:val="00033FD2"/>
    <w:rsid w:val="0003679E"/>
    <w:rsid w:val="00042867"/>
    <w:rsid w:val="00044FD7"/>
    <w:rsid w:val="00051E30"/>
    <w:rsid w:val="000543D0"/>
    <w:rsid w:val="0005522C"/>
    <w:rsid w:val="00055AC1"/>
    <w:rsid w:val="00067037"/>
    <w:rsid w:val="0006711C"/>
    <w:rsid w:val="00070DF7"/>
    <w:rsid w:val="000726F6"/>
    <w:rsid w:val="00076643"/>
    <w:rsid w:val="00076A67"/>
    <w:rsid w:val="00077967"/>
    <w:rsid w:val="00085837"/>
    <w:rsid w:val="00085B3A"/>
    <w:rsid w:val="00090C82"/>
    <w:rsid w:val="0009409F"/>
    <w:rsid w:val="000972FF"/>
    <w:rsid w:val="000A1AA3"/>
    <w:rsid w:val="000D1B73"/>
    <w:rsid w:val="000D1F0C"/>
    <w:rsid w:val="000D5B01"/>
    <w:rsid w:val="000D6108"/>
    <w:rsid w:val="000E1449"/>
    <w:rsid w:val="000E578D"/>
    <w:rsid w:val="000F699D"/>
    <w:rsid w:val="00104AD1"/>
    <w:rsid w:val="00107799"/>
    <w:rsid w:val="00111D99"/>
    <w:rsid w:val="00112F18"/>
    <w:rsid w:val="00116623"/>
    <w:rsid w:val="0011665B"/>
    <w:rsid w:val="001234C3"/>
    <w:rsid w:val="00124B4F"/>
    <w:rsid w:val="00126213"/>
    <w:rsid w:val="001310F1"/>
    <w:rsid w:val="0013290F"/>
    <w:rsid w:val="00134401"/>
    <w:rsid w:val="00143EFC"/>
    <w:rsid w:val="00145ECC"/>
    <w:rsid w:val="00146956"/>
    <w:rsid w:val="00151CCA"/>
    <w:rsid w:val="00152143"/>
    <w:rsid w:val="00157BD8"/>
    <w:rsid w:val="00161E82"/>
    <w:rsid w:val="00174A6F"/>
    <w:rsid w:val="001812B2"/>
    <w:rsid w:val="001843A4"/>
    <w:rsid w:val="0018705B"/>
    <w:rsid w:val="0019388B"/>
    <w:rsid w:val="00195378"/>
    <w:rsid w:val="001961C9"/>
    <w:rsid w:val="00197C29"/>
    <w:rsid w:val="001A0EBE"/>
    <w:rsid w:val="001A2CB2"/>
    <w:rsid w:val="001A6618"/>
    <w:rsid w:val="001B2EFC"/>
    <w:rsid w:val="001B4ED5"/>
    <w:rsid w:val="001B5216"/>
    <w:rsid w:val="001B62B1"/>
    <w:rsid w:val="001B74F7"/>
    <w:rsid w:val="001C4478"/>
    <w:rsid w:val="001C6151"/>
    <w:rsid w:val="001E5A6F"/>
    <w:rsid w:val="001F5586"/>
    <w:rsid w:val="001F6582"/>
    <w:rsid w:val="002041E3"/>
    <w:rsid w:val="00211CDF"/>
    <w:rsid w:val="00217CF2"/>
    <w:rsid w:val="00223FBF"/>
    <w:rsid w:val="002244E1"/>
    <w:rsid w:val="00225BE5"/>
    <w:rsid w:val="002266CD"/>
    <w:rsid w:val="002320C6"/>
    <w:rsid w:val="002416B5"/>
    <w:rsid w:val="00252B31"/>
    <w:rsid w:val="002563F5"/>
    <w:rsid w:val="00257077"/>
    <w:rsid w:val="002600F0"/>
    <w:rsid w:val="00265471"/>
    <w:rsid w:val="0026789F"/>
    <w:rsid w:val="00267E01"/>
    <w:rsid w:val="00271A81"/>
    <w:rsid w:val="0027352A"/>
    <w:rsid w:val="00282944"/>
    <w:rsid w:val="00283B93"/>
    <w:rsid w:val="0028738F"/>
    <w:rsid w:val="00294C1B"/>
    <w:rsid w:val="00295193"/>
    <w:rsid w:val="00296B76"/>
    <w:rsid w:val="00297942"/>
    <w:rsid w:val="002A4296"/>
    <w:rsid w:val="002B18B7"/>
    <w:rsid w:val="002C4C79"/>
    <w:rsid w:val="002C7D3E"/>
    <w:rsid w:val="002D3B88"/>
    <w:rsid w:val="002E2EAF"/>
    <w:rsid w:val="002E6A74"/>
    <w:rsid w:val="002F4BCF"/>
    <w:rsid w:val="002F6FE9"/>
    <w:rsid w:val="00301802"/>
    <w:rsid w:val="00302008"/>
    <w:rsid w:val="00304BE1"/>
    <w:rsid w:val="003104E9"/>
    <w:rsid w:val="0031222A"/>
    <w:rsid w:val="0031573C"/>
    <w:rsid w:val="0032093A"/>
    <w:rsid w:val="00320FBE"/>
    <w:rsid w:val="0032586F"/>
    <w:rsid w:val="00325C2B"/>
    <w:rsid w:val="003316E2"/>
    <w:rsid w:val="00332547"/>
    <w:rsid w:val="00336887"/>
    <w:rsid w:val="00336D54"/>
    <w:rsid w:val="00337600"/>
    <w:rsid w:val="003403BB"/>
    <w:rsid w:val="0034580F"/>
    <w:rsid w:val="00350299"/>
    <w:rsid w:val="003506C9"/>
    <w:rsid w:val="00352FB4"/>
    <w:rsid w:val="00355F8F"/>
    <w:rsid w:val="00361979"/>
    <w:rsid w:val="00366860"/>
    <w:rsid w:val="003708D5"/>
    <w:rsid w:val="00371277"/>
    <w:rsid w:val="0037228D"/>
    <w:rsid w:val="003A1AEF"/>
    <w:rsid w:val="003A5A6D"/>
    <w:rsid w:val="003A64D3"/>
    <w:rsid w:val="003B41C7"/>
    <w:rsid w:val="003B50D7"/>
    <w:rsid w:val="003C57E7"/>
    <w:rsid w:val="003C75A0"/>
    <w:rsid w:val="003D146C"/>
    <w:rsid w:val="003D2830"/>
    <w:rsid w:val="003D4726"/>
    <w:rsid w:val="003E0A78"/>
    <w:rsid w:val="003E2006"/>
    <w:rsid w:val="003E319C"/>
    <w:rsid w:val="003E62AF"/>
    <w:rsid w:val="003F0244"/>
    <w:rsid w:val="003F09F8"/>
    <w:rsid w:val="003F1D35"/>
    <w:rsid w:val="003F3BFD"/>
    <w:rsid w:val="003F723A"/>
    <w:rsid w:val="00401C5B"/>
    <w:rsid w:val="004046AC"/>
    <w:rsid w:val="00406BE4"/>
    <w:rsid w:val="00412F5F"/>
    <w:rsid w:val="00413EFC"/>
    <w:rsid w:val="00414CD4"/>
    <w:rsid w:val="00433055"/>
    <w:rsid w:val="00435889"/>
    <w:rsid w:val="0043697D"/>
    <w:rsid w:val="004406AA"/>
    <w:rsid w:val="00445829"/>
    <w:rsid w:val="00452CF1"/>
    <w:rsid w:val="00457A18"/>
    <w:rsid w:val="00460FAD"/>
    <w:rsid w:val="00465AD7"/>
    <w:rsid w:val="00471505"/>
    <w:rsid w:val="0047441E"/>
    <w:rsid w:val="00485A6F"/>
    <w:rsid w:val="00485E90"/>
    <w:rsid w:val="004920B1"/>
    <w:rsid w:val="004A5888"/>
    <w:rsid w:val="004A689E"/>
    <w:rsid w:val="004C2695"/>
    <w:rsid w:val="004E36EC"/>
    <w:rsid w:val="004E5DFC"/>
    <w:rsid w:val="004F21A6"/>
    <w:rsid w:val="0050096C"/>
    <w:rsid w:val="0050174F"/>
    <w:rsid w:val="005113CF"/>
    <w:rsid w:val="00513446"/>
    <w:rsid w:val="00516EBF"/>
    <w:rsid w:val="00520DB2"/>
    <w:rsid w:val="00522362"/>
    <w:rsid w:val="00524FFC"/>
    <w:rsid w:val="005279E8"/>
    <w:rsid w:val="005419B6"/>
    <w:rsid w:val="00546F49"/>
    <w:rsid w:val="00557039"/>
    <w:rsid w:val="005602CD"/>
    <w:rsid w:val="0056771C"/>
    <w:rsid w:val="005736A4"/>
    <w:rsid w:val="005777BA"/>
    <w:rsid w:val="00577E6A"/>
    <w:rsid w:val="00582D1B"/>
    <w:rsid w:val="00584A11"/>
    <w:rsid w:val="005861D1"/>
    <w:rsid w:val="005874FF"/>
    <w:rsid w:val="005944D6"/>
    <w:rsid w:val="00595C5D"/>
    <w:rsid w:val="005970D9"/>
    <w:rsid w:val="005A23A7"/>
    <w:rsid w:val="005A362F"/>
    <w:rsid w:val="005A3D27"/>
    <w:rsid w:val="005A49D4"/>
    <w:rsid w:val="005B16A8"/>
    <w:rsid w:val="005B4233"/>
    <w:rsid w:val="005B4D4A"/>
    <w:rsid w:val="005C005C"/>
    <w:rsid w:val="005C1929"/>
    <w:rsid w:val="005C1956"/>
    <w:rsid w:val="005C2C88"/>
    <w:rsid w:val="005C41CB"/>
    <w:rsid w:val="005C5E38"/>
    <w:rsid w:val="005D5B8F"/>
    <w:rsid w:val="005D6AB4"/>
    <w:rsid w:val="005E384F"/>
    <w:rsid w:val="005F4753"/>
    <w:rsid w:val="005F63F8"/>
    <w:rsid w:val="005F7A10"/>
    <w:rsid w:val="006053AC"/>
    <w:rsid w:val="006111FF"/>
    <w:rsid w:val="006138EA"/>
    <w:rsid w:val="00620E1A"/>
    <w:rsid w:val="00625699"/>
    <w:rsid w:val="00625924"/>
    <w:rsid w:val="0062787C"/>
    <w:rsid w:val="00633478"/>
    <w:rsid w:val="006342EC"/>
    <w:rsid w:val="00640B82"/>
    <w:rsid w:val="00655126"/>
    <w:rsid w:val="0066270D"/>
    <w:rsid w:val="006628F7"/>
    <w:rsid w:val="006639B6"/>
    <w:rsid w:val="006678E7"/>
    <w:rsid w:val="00676F22"/>
    <w:rsid w:val="0067730B"/>
    <w:rsid w:val="00697AAB"/>
    <w:rsid w:val="00697F14"/>
    <w:rsid w:val="006A0427"/>
    <w:rsid w:val="006A3D9D"/>
    <w:rsid w:val="006A7C48"/>
    <w:rsid w:val="006B0B3C"/>
    <w:rsid w:val="006B3E2F"/>
    <w:rsid w:val="006C2B52"/>
    <w:rsid w:val="006C35C5"/>
    <w:rsid w:val="006C7612"/>
    <w:rsid w:val="006D0309"/>
    <w:rsid w:val="006D71BC"/>
    <w:rsid w:val="006E6D33"/>
    <w:rsid w:val="006F0E6F"/>
    <w:rsid w:val="006F4751"/>
    <w:rsid w:val="0070652B"/>
    <w:rsid w:val="007156E0"/>
    <w:rsid w:val="00716872"/>
    <w:rsid w:val="0072146E"/>
    <w:rsid w:val="00724D39"/>
    <w:rsid w:val="00730053"/>
    <w:rsid w:val="00730433"/>
    <w:rsid w:val="00733A2E"/>
    <w:rsid w:val="007352DD"/>
    <w:rsid w:val="007375DC"/>
    <w:rsid w:val="00741151"/>
    <w:rsid w:val="00746EA1"/>
    <w:rsid w:val="00750CD5"/>
    <w:rsid w:val="00750E5E"/>
    <w:rsid w:val="007519AD"/>
    <w:rsid w:val="007531E7"/>
    <w:rsid w:val="00754ABE"/>
    <w:rsid w:val="00756D5B"/>
    <w:rsid w:val="007603BB"/>
    <w:rsid w:val="00760492"/>
    <w:rsid w:val="0077023C"/>
    <w:rsid w:val="00776807"/>
    <w:rsid w:val="0077789B"/>
    <w:rsid w:val="0078062F"/>
    <w:rsid w:val="00780692"/>
    <w:rsid w:val="007827E7"/>
    <w:rsid w:val="00785010"/>
    <w:rsid w:val="0079163D"/>
    <w:rsid w:val="0079187F"/>
    <w:rsid w:val="007937F6"/>
    <w:rsid w:val="00794759"/>
    <w:rsid w:val="00794E61"/>
    <w:rsid w:val="007A11E4"/>
    <w:rsid w:val="007A13FD"/>
    <w:rsid w:val="007A1FFE"/>
    <w:rsid w:val="007A357A"/>
    <w:rsid w:val="007A54F9"/>
    <w:rsid w:val="007A6DBA"/>
    <w:rsid w:val="007B2958"/>
    <w:rsid w:val="007C090B"/>
    <w:rsid w:val="007C1CE3"/>
    <w:rsid w:val="007C7064"/>
    <w:rsid w:val="007D0D75"/>
    <w:rsid w:val="007D29BF"/>
    <w:rsid w:val="007D6CD5"/>
    <w:rsid w:val="007E603C"/>
    <w:rsid w:val="007E7C61"/>
    <w:rsid w:val="007F735A"/>
    <w:rsid w:val="00806E5F"/>
    <w:rsid w:val="008073A0"/>
    <w:rsid w:val="00822325"/>
    <w:rsid w:val="0082411E"/>
    <w:rsid w:val="00827219"/>
    <w:rsid w:val="00835E5F"/>
    <w:rsid w:val="0084366F"/>
    <w:rsid w:val="00845ABD"/>
    <w:rsid w:val="00846856"/>
    <w:rsid w:val="00850507"/>
    <w:rsid w:val="008526B2"/>
    <w:rsid w:val="00853345"/>
    <w:rsid w:val="008601F7"/>
    <w:rsid w:val="00864209"/>
    <w:rsid w:val="00865450"/>
    <w:rsid w:val="00867132"/>
    <w:rsid w:val="008750E6"/>
    <w:rsid w:val="00877777"/>
    <w:rsid w:val="00880340"/>
    <w:rsid w:val="008824B9"/>
    <w:rsid w:val="0088315D"/>
    <w:rsid w:val="00884205"/>
    <w:rsid w:val="00886BB5"/>
    <w:rsid w:val="00892036"/>
    <w:rsid w:val="00893782"/>
    <w:rsid w:val="008B2B7A"/>
    <w:rsid w:val="008B5BFB"/>
    <w:rsid w:val="008C038E"/>
    <w:rsid w:val="008C39B5"/>
    <w:rsid w:val="008C60EE"/>
    <w:rsid w:val="008C6F68"/>
    <w:rsid w:val="008D12DC"/>
    <w:rsid w:val="008D7BF2"/>
    <w:rsid w:val="008E05A3"/>
    <w:rsid w:val="008F4847"/>
    <w:rsid w:val="008F4D5E"/>
    <w:rsid w:val="00900F2B"/>
    <w:rsid w:val="00901475"/>
    <w:rsid w:val="009063F6"/>
    <w:rsid w:val="00914204"/>
    <w:rsid w:val="009169BC"/>
    <w:rsid w:val="00923327"/>
    <w:rsid w:val="00927277"/>
    <w:rsid w:val="00930CD7"/>
    <w:rsid w:val="00931750"/>
    <w:rsid w:val="00932C7B"/>
    <w:rsid w:val="009338DF"/>
    <w:rsid w:val="00937C3B"/>
    <w:rsid w:val="0094239F"/>
    <w:rsid w:val="00944D61"/>
    <w:rsid w:val="00956501"/>
    <w:rsid w:val="00956E12"/>
    <w:rsid w:val="009600C5"/>
    <w:rsid w:val="00965B98"/>
    <w:rsid w:val="00965BD4"/>
    <w:rsid w:val="00965E16"/>
    <w:rsid w:val="0098535B"/>
    <w:rsid w:val="00987B69"/>
    <w:rsid w:val="00991A1B"/>
    <w:rsid w:val="00992679"/>
    <w:rsid w:val="009941CD"/>
    <w:rsid w:val="0099561C"/>
    <w:rsid w:val="00995F44"/>
    <w:rsid w:val="009A3884"/>
    <w:rsid w:val="009A6925"/>
    <w:rsid w:val="009A6AD1"/>
    <w:rsid w:val="009B016F"/>
    <w:rsid w:val="009B039E"/>
    <w:rsid w:val="009B15A1"/>
    <w:rsid w:val="009C09A5"/>
    <w:rsid w:val="009C5183"/>
    <w:rsid w:val="009D46D7"/>
    <w:rsid w:val="009D4B87"/>
    <w:rsid w:val="009E2788"/>
    <w:rsid w:val="009E30D6"/>
    <w:rsid w:val="009F0055"/>
    <w:rsid w:val="009F07CC"/>
    <w:rsid w:val="009F0FEA"/>
    <w:rsid w:val="009F18CE"/>
    <w:rsid w:val="009F1D27"/>
    <w:rsid w:val="009F5625"/>
    <w:rsid w:val="009F5CDE"/>
    <w:rsid w:val="00A012A5"/>
    <w:rsid w:val="00A04E02"/>
    <w:rsid w:val="00A06A89"/>
    <w:rsid w:val="00A135BE"/>
    <w:rsid w:val="00A30882"/>
    <w:rsid w:val="00A31EDF"/>
    <w:rsid w:val="00A32B81"/>
    <w:rsid w:val="00A35C98"/>
    <w:rsid w:val="00A36290"/>
    <w:rsid w:val="00A5331A"/>
    <w:rsid w:val="00A61EA8"/>
    <w:rsid w:val="00A64D8E"/>
    <w:rsid w:val="00A700E9"/>
    <w:rsid w:val="00A7049C"/>
    <w:rsid w:val="00A778D8"/>
    <w:rsid w:val="00A80135"/>
    <w:rsid w:val="00A81AEE"/>
    <w:rsid w:val="00A81D5E"/>
    <w:rsid w:val="00A8381C"/>
    <w:rsid w:val="00A86500"/>
    <w:rsid w:val="00AA0189"/>
    <w:rsid w:val="00AA0A20"/>
    <w:rsid w:val="00AA2B6A"/>
    <w:rsid w:val="00AA306A"/>
    <w:rsid w:val="00AA373E"/>
    <w:rsid w:val="00AA6CAF"/>
    <w:rsid w:val="00AA7CA2"/>
    <w:rsid w:val="00AB0594"/>
    <w:rsid w:val="00AB2166"/>
    <w:rsid w:val="00AB43D9"/>
    <w:rsid w:val="00AC134B"/>
    <w:rsid w:val="00AC4995"/>
    <w:rsid w:val="00AC4F42"/>
    <w:rsid w:val="00AC7E5F"/>
    <w:rsid w:val="00AD57AD"/>
    <w:rsid w:val="00AD57B2"/>
    <w:rsid w:val="00AE2EFB"/>
    <w:rsid w:val="00AE2F4F"/>
    <w:rsid w:val="00AE4363"/>
    <w:rsid w:val="00AE6A38"/>
    <w:rsid w:val="00B030BE"/>
    <w:rsid w:val="00B0594B"/>
    <w:rsid w:val="00B122EA"/>
    <w:rsid w:val="00B22E07"/>
    <w:rsid w:val="00B324A5"/>
    <w:rsid w:val="00B3608A"/>
    <w:rsid w:val="00B42730"/>
    <w:rsid w:val="00B4551C"/>
    <w:rsid w:val="00B460AF"/>
    <w:rsid w:val="00B47D6C"/>
    <w:rsid w:val="00B52010"/>
    <w:rsid w:val="00B536D2"/>
    <w:rsid w:val="00B56EFD"/>
    <w:rsid w:val="00B574E7"/>
    <w:rsid w:val="00B6108B"/>
    <w:rsid w:val="00B64488"/>
    <w:rsid w:val="00B65A7F"/>
    <w:rsid w:val="00B662B2"/>
    <w:rsid w:val="00B6763B"/>
    <w:rsid w:val="00B67CBD"/>
    <w:rsid w:val="00B743BC"/>
    <w:rsid w:val="00B81192"/>
    <w:rsid w:val="00B84969"/>
    <w:rsid w:val="00B921A8"/>
    <w:rsid w:val="00B92A69"/>
    <w:rsid w:val="00BB4239"/>
    <w:rsid w:val="00BB7BEB"/>
    <w:rsid w:val="00BC4081"/>
    <w:rsid w:val="00BC7EEE"/>
    <w:rsid w:val="00BD19AE"/>
    <w:rsid w:val="00BD3317"/>
    <w:rsid w:val="00BE2D19"/>
    <w:rsid w:val="00BE3EF8"/>
    <w:rsid w:val="00BE50FE"/>
    <w:rsid w:val="00BE5958"/>
    <w:rsid w:val="00BE6519"/>
    <w:rsid w:val="00BE6957"/>
    <w:rsid w:val="00BE78F0"/>
    <w:rsid w:val="00BF071D"/>
    <w:rsid w:val="00BF5B26"/>
    <w:rsid w:val="00C01E1C"/>
    <w:rsid w:val="00C02E48"/>
    <w:rsid w:val="00C03618"/>
    <w:rsid w:val="00C14673"/>
    <w:rsid w:val="00C27EF9"/>
    <w:rsid w:val="00C3018F"/>
    <w:rsid w:val="00C30671"/>
    <w:rsid w:val="00C322BE"/>
    <w:rsid w:val="00C32950"/>
    <w:rsid w:val="00C4124C"/>
    <w:rsid w:val="00C47696"/>
    <w:rsid w:val="00C51FBC"/>
    <w:rsid w:val="00C521B5"/>
    <w:rsid w:val="00C52BA1"/>
    <w:rsid w:val="00C53BED"/>
    <w:rsid w:val="00C577C8"/>
    <w:rsid w:val="00C63E30"/>
    <w:rsid w:val="00C66337"/>
    <w:rsid w:val="00C73307"/>
    <w:rsid w:val="00C73967"/>
    <w:rsid w:val="00C7635D"/>
    <w:rsid w:val="00C77AB5"/>
    <w:rsid w:val="00C81AD1"/>
    <w:rsid w:val="00C84877"/>
    <w:rsid w:val="00C84F16"/>
    <w:rsid w:val="00C860D4"/>
    <w:rsid w:val="00C94023"/>
    <w:rsid w:val="00C96EBF"/>
    <w:rsid w:val="00CA67FC"/>
    <w:rsid w:val="00CB7858"/>
    <w:rsid w:val="00CC1D4E"/>
    <w:rsid w:val="00CC6623"/>
    <w:rsid w:val="00CC6812"/>
    <w:rsid w:val="00CD220C"/>
    <w:rsid w:val="00CD31A0"/>
    <w:rsid w:val="00CD5D90"/>
    <w:rsid w:val="00CE1C9D"/>
    <w:rsid w:val="00CE2D9C"/>
    <w:rsid w:val="00CE5750"/>
    <w:rsid w:val="00CF166A"/>
    <w:rsid w:val="00D00569"/>
    <w:rsid w:val="00D03B83"/>
    <w:rsid w:val="00D102A7"/>
    <w:rsid w:val="00D1288A"/>
    <w:rsid w:val="00D15473"/>
    <w:rsid w:val="00D24160"/>
    <w:rsid w:val="00D24665"/>
    <w:rsid w:val="00D30F97"/>
    <w:rsid w:val="00D32B93"/>
    <w:rsid w:val="00D33169"/>
    <w:rsid w:val="00D333B8"/>
    <w:rsid w:val="00D353F4"/>
    <w:rsid w:val="00D357B5"/>
    <w:rsid w:val="00D4484A"/>
    <w:rsid w:val="00D44EA3"/>
    <w:rsid w:val="00D5694D"/>
    <w:rsid w:val="00D56B5D"/>
    <w:rsid w:val="00D60BCB"/>
    <w:rsid w:val="00D61E2B"/>
    <w:rsid w:val="00D63793"/>
    <w:rsid w:val="00D66713"/>
    <w:rsid w:val="00D71323"/>
    <w:rsid w:val="00D73611"/>
    <w:rsid w:val="00D76B5D"/>
    <w:rsid w:val="00D8049E"/>
    <w:rsid w:val="00D804B7"/>
    <w:rsid w:val="00D81C44"/>
    <w:rsid w:val="00D90810"/>
    <w:rsid w:val="00DA38D3"/>
    <w:rsid w:val="00DA7F59"/>
    <w:rsid w:val="00DB3149"/>
    <w:rsid w:val="00DB5B90"/>
    <w:rsid w:val="00DB64C5"/>
    <w:rsid w:val="00DB6D67"/>
    <w:rsid w:val="00DB770B"/>
    <w:rsid w:val="00DC1D00"/>
    <w:rsid w:val="00DC2093"/>
    <w:rsid w:val="00DC5C22"/>
    <w:rsid w:val="00DE1835"/>
    <w:rsid w:val="00DE5E8F"/>
    <w:rsid w:val="00DF06A0"/>
    <w:rsid w:val="00E04021"/>
    <w:rsid w:val="00E11633"/>
    <w:rsid w:val="00E12946"/>
    <w:rsid w:val="00E30682"/>
    <w:rsid w:val="00E316DD"/>
    <w:rsid w:val="00E32625"/>
    <w:rsid w:val="00E32971"/>
    <w:rsid w:val="00E422D1"/>
    <w:rsid w:val="00E50968"/>
    <w:rsid w:val="00E526A4"/>
    <w:rsid w:val="00E5339D"/>
    <w:rsid w:val="00E74C3D"/>
    <w:rsid w:val="00E776B7"/>
    <w:rsid w:val="00E81663"/>
    <w:rsid w:val="00E904B2"/>
    <w:rsid w:val="00E9155E"/>
    <w:rsid w:val="00E934D7"/>
    <w:rsid w:val="00E973F5"/>
    <w:rsid w:val="00EA00BC"/>
    <w:rsid w:val="00EA4C31"/>
    <w:rsid w:val="00EA5A61"/>
    <w:rsid w:val="00EB0CCC"/>
    <w:rsid w:val="00EB2A33"/>
    <w:rsid w:val="00EB41E9"/>
    <w:rsid w:val="00EB5E7E"/>
    <w:rsid w:val="00EB5EBC"/>
    <w:rsid w:val="00EC3D12"/>
    <w:rsid w:val="00ED12C3"/>
    <w:rsid w:val="00ED3AC7"/>
    <w:rsid w:val="00ED4734"/>
    <w:rsid w:val="00EE0763"/>
    <w:rsid w:val="00EE1252"/>
    <w:rsid w:val="00EE47FF"/>
    <w:rsid w:val="00EE7911"/>
    <w:rsid w:val="00EF1827"/>
    <w:rsid w:val="00EF2384"/>
    <w:rsid w:val="00F00005"/>
    <w:rsid w:val="00F0156C"/>
    <w:rsid w:val="00F0434F"/>
    <w:rsid w:val="00F15A04"/>
    <w:rsid w:val="00F22E8B"/>
    <w:rsid w:val="00F324E0"/>
    <w:rsid w:val="00F35C45"/>
    <w:rsid w:val="00F43FF3"/>
    <w:rsid w:val="00F5124B"/>
    <w:rsid w:val="00F53602"/>
    <w:rsid w:val="00F539C8"/>
    <w:rsid w:val="00F62FA4"/>
    <w:rsid w:val="00F662F8"/>
    <w:rsid w:val="00F7088F"/>
    <w:rsid w:val="00F71040"/>
    <w:rsid w:val="00F71A6A"/>
    <w:rsid w:val="00F73D18"/>
    <w:rsid w:val="00F76FDD"/>
    <w:rsid w:val="00F94742"/>
    <w:rsid w:val="00FB5DB4"/>
    <w:rsid w:val="00FB68B6"/>
    <w:rsid w:val="00FD06C5"/>
    <w:rsid w:val="00FD3E2F"/>
    <w:rsid w:val="00FE6E31"/>
    <w:rsid w:val="00FF22B3"/>
    <w:rsid w:val="00FF23D4"/>
    <w:rsid w:val="00FF38E0"/>
    <w:rsid w:val="00FF5378"/>
    <w:rsid w:val="00FF78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48"/>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35"/>
    <w:pPr>
      <w:suppressAutoHyphens/>
    </w:pPr>
    <w:rPr>
      <w:sz w:val="24"/>
      <w:lang w:val="en-GB" w:eastAsia="fr-FR"/>
    </w:rPr>
  </w:style>
  <w:style w:type="paragraph" w:styleId="Balk1">
    <w:name w:val="heading 1"/>
    <w:basedOn w:val="Normal"/>
    <w:next w:val="Normal"/>
    <w:qFormat/>
    <w:rsid w:val="008824B9"/>
    <w:pPr>
      <w:keepNext/>
      <w:spacing w:before="360" w:after="240"/>
      <w:jc w:val="center"/>
      <w:outlineLvl w:val="0"/>
    </w:pPr>
    <w:rPr>
      <w:b/>
      <w:sz w:val="28"/>
    </w:rPr>
  </w:style>
  <w:style w:type="paragraph" w:styleId="Balk2">
    <w:name w:val="heading 2"/>
    <w:basedOn w:val="Normal"/>
    <w:next w:val="Normal"/>
    <w:qFormat/>
    <w:rsid w:val="008824B9"/>
    <w:pPr>
      <w:keepNext/>
      <w:spacing w:before="240" w:after="120"/>
      <w:ind w:left="284" w:hanging="284"/>
      <w:outlineLvl w:val="1"/>
    </w:pPr>
    <w:rPr>
      <w:b/>
    </w:rPr>
  </w:style>
  <w:style w:type="paragraph" w:styleId="Balk3">
    <w:name w:val="heading 3"/>
    <w:basedOn w:val="Normal"/>
    <w:next w:val="Normal"/>
    <w:qFormat/>
    <w:rsid w:val="008824B9"/>
    <w:pPr>
      <w:keepNext/>
      <w:spacing w:before="120" w:after="60"/>
      <w:ind w:left="1418" w:hanging="851"/>
      <w:outlineLvl w:val="2"/>
    </w:pPr>
    <w:rPr>
      <w:i/>
    </w:rPr>
  </w:style>
  <w:style w:type="paragraph" w:styleId="Balk4">
    <w:name w:val="heading 4"/>
    <w:basedOn w:val="Normal"/>
    <w:next w:val="Normal"/>
    <w:qFormat/>
    <w:rsid w:val="003708D5"/>
    <w:pPr>
      <w:widowControl w:val="0"/>
      <w:outlineLvl w:val="3"/>
    </w:pPr>
    <w:rPr>
      <w:rFonts w:ascii="Courier" w:hAnsi="Courier"/>
      <w:snapToGrid w:val="0"/>
      <w:lang w:val="en-US" w:eastAsia="en-US"/>
    </w:rPr>
  </w:style>
  <w:style w:type="paragraph" w:styleId="Balk5">
    <w:name w:val="heading 5"/>
    <w:basedOn w:val="Normal"/>
    <w:next w:val="Normal"/>
    <w:qFormat/>
    <w:rsid w:val="003708D5"/>
    <w:pPr>
      <w:widowControl w:val="0"/>
      <w:outlineLvl w:val="4"/>
    </w:pPr>
    <w:rPr>
      <w:rFonts w:ascii="Courier" w:hAnsi="Courier"/>
      <w:snapToGrid w:val="0"/>
      <w:lang w:val="en-US" w:eastAsia="en-US"/>
    </w:rPr>
  </w:style>
  <w:style w:type="paragraph" w:styleId="Balk6">
    <w:name w:val="heading 6"/>
    <w:basedOn w:val="Normal"/>
    <w:next w:val="Normal"/>
    <w:qFormat/>
    <w:rsid w:val="003708D5"/>
    <w:pPr>
      <w:widowControl w:val="0"/>
      <w:outlineLvl w:val="5"/>
    </w:pPr>
    <w:rPr>
      <w:rFonts w:ascii="Courier" w:hAnsi="Courier"/>
      <w:snapToGrid w:val="0"/>
      <w:lang w:val="en-US" w:eastAsia="en-US"/>
    </w:rPr>
  </w:style>
  <w:style w:type="paragraph" w:styleId="Balk7">
    <w:name w:val="heading 7"/>
    <w:basedOn w:val="Normal"/>
    <w:next w:val="Normal"/>
    <w:qFormat/>
    <w:rsid w:val="003708D5"/>
    <w:pPr>
      <w:widowControl w:val="0"/>
      <w:outlineLvl w:val="6"/>
    </w:pPr>
    <w:rPr>
      <w:rFonts w:ascii="Courier" w:hAnsi="Courier"/>
      <w:snapToGrid w:val="0"/>
      <w:lang w:val="en-US" w:eastAsia="en-US"/>
    </w:rPr>
  </w:style>
  <w:style w:type="paragraph" w:styleId="Balk8">
    <w:name w:val="heading 8"/>
    <w:basedOn w:val="Normal"/>
    <w:next w:val="Normal"/>
    <w:qFormat/>
    <w:rsid w:val="003708D5"/>
    <w:pPr>
      <w:widowControl w:val="0"/>
      <w:outlineLvl w:val="7"/>
    </w:pPr>
    <w:rPr>
      <w:rFonts w:ascii="Courier" w:hAnsi="Courier"/>
      <w:snapToGrid w:val="0"/>
      <w:lang w:val="en-US" w:eastAsia="en-US"/>
    </w:rPr>
  </w:style>
  <w:style w:type="paragraph" w:styleId="Balk9">
    <w:name w:val="heading 9"/>
    <w:basedOn w:val="Normal"/>
    <w:next w:val="Normal"/>
    <w:qFormat/>
    <w:rsid w:val="003708D5"/>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Altbilgi">
    <w:name w:val="footer"/>
    <w:basedOn w:val="NormalTimesNewRoman"/>
    <w:rsid w:val="00D1288A"/>
    <w:pPr>
      <w:tabs>
        <w:tab w:val="center" w:pos="3686"/>
        <w:tab w:val="right" w:pos="7371"/>
      </w:tabs>
    </w:pPr>
    <w:rPr>
      <w:sz w:val="18"/>
    </w:rPr>
  </w:style>
  <w:style w:type="paragraph" w:customStyle="1" w:styleId="JuJudges">
    <w:name w:val="Ju_Judges"/>
    <w:aliases w:val="ECHR_Decision_Body"/>
    <w:basedOn w:val="NormalTimesNewRoman"/>
    <w:link w:val="JuJudgesChar"/>
    <w:uiPriority w:val="11"/>
    <w:qFormat/>
    <w:rsid w:val="00D1288A"/>
    <w:pPr>
      <w:tabs>
        <w:tab w:val="left" w:pos="567"/>
        <w:tab w:val="left" w:pos="1134"/>
      </w:tabs>
    </w:pPr>
  </w:style>
  <w:style w:type="character" w:customStyle="1" w:styleId="JuJudgesChar">
    <w:name w:val="Ju_Judges Char"/>
    <w:link w:val="JuJudges"/>
    <w:uiPriority w:val="11"/>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rsid w:val="003708D5"/>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DipnotMetni">
    <w:name w:val="footnote text"/>
    <w:basedOn w:val="Normal"/>
    <w:semiHidden/>
    <w:rsid w:val="00D1288A"/>
    <w:pPr>
      <w:jc w:val="both"/>
    </w:pPr>
    <w:rPr>
      <w:sz w:val="20"/>
    </w:rPr>
  </w:style>
  <w:style w:type="character" w:styleId="DipnotBavurusu">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stbilgi">
    <w:name w:val="header"/>
    <w:basedOn w:val="NormalTimesNewRoman"/>
    <w:link w:val="stbilgiChar"/>
    <w:uiPriority w:val="48"/>
    <w:rsid w:val="00D1288A"/>
    <w:pPr>
      <w:tabs>
        <w:tab w:val="center" w:pos="3686"/>
        <w:tab w:val="right" w:pos="7371"/>
      </w:tabs>
    </w:pPr>
    <w:rPr>
      <w:sz w:val="18"/>
    </w:rPr>
  </w:style>
  <w:style w:type="character" w:styleId="SayfaNumaras">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AklamaBavurusu">
    <w:name w:val="annotation reference"/>
    <w:semiHidden/>
    <w:rsid w:val="003708D5"/>
    <w:rPr>
      <w:sz w:val="16"/>
    </w:rPr>
  </w:style>
  <w:style w:type="paragraph" w:styleId="AklamaMetni">
    <w:name w:val="annotation text"/>
    <w:basedOn w:val="Normal"/>
    <w:semiHidden/>
    <w:rsid w:val="003708D5"/>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stbilgi"/>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onMetni">
    <w:name w:val="Balloon Text"/>
    <w:basedOn w:val="Normal"/>
    <w:semiHidden/>
    <w:rsid w:val="00457A18"/>
    <w:rPr>
      <w:rFonts w:ascii="Tahoma" w:hAnsi="Tahoma" w:cs="Tahoma"/>
      <w:sz w:val="16"/>
      <w:szCs w:val="16"/>
    </w:rPr>
  </w:style>
  <w:style w:type="paragraph" w:styleId="AklamaKonusu">
    <w:name w:val="annotation subject"/>
    <w:basedOn w:val="AklamaMetni"/>
    <w:next w:val="AklamaMetni"/>
    <w:semiHidden/>
    <w:rsid w:val="00D353F4"/>
    <w:rPr>
      <w:b/>
      <w:bCs/>
    </w:rPr>
  </w:style>
  <w:style w:type="character" w:styleId="SonnotBavurusu">
    <w:name w:val="endnote reference"/>
    <w:semiHidden/>
    <w:rsid w:val="00D1288A"/>
    <w:rPr>
      <w:vertAlign w:val="superscript"/>
    </w:rPr>
  </w:style>
  <w:style w:type="paragraph" w:styleId="SonnotMetni">
    <w:name w:val="endnote text"/>
    <w:basedOn w:val="Normal"/>
    <w:semiHidden/>
    <w:rsid w:val="00D1288A"/>
    <w:rPr>
      <w:sz w:val="20"/>
    </w:rPr>
  </w:style>
  <w:style w:type="character" w:styleId="zlenenKpr">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Kpr">
    <w:name w:val="Hyperlink"/>
    <w:rsid w:val="00D1288A"/>
    <w:rPr>
      <w:color w:val="0000FF"/>
      <w:u w:val="single"/>
    </w:rPr>
  </w:style>
  <w:style w:type="character" w:styleId="Gl">
    <w:name w:val="Strong"/>
    <w:qFormat/>
    <w:rsid w:val="00AA7CA2"/>
    <w:rPr>
      <w:b/>
      <w:bCs/>
    </w:rPr>
  </w:style>
  <w:style w:type="paragraph" w:styleId="BelgeBalantlar">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eMaddemi"/>
    <w:rsid w:val="00D1288A"/>
    <w:pPr>
      <w:numPr>
        <w:numId w:val="6"/>
      </w:numPr>
      <w:suppressAutoHyphens w:val="0"/>
    </w:pPr>
    <w:rPr>
      <w:b/>
      <w:color w:val="333333"/>
    </w:rPr>
  </w:style>
  <w:style w:type="paragraph" w:styleId="ListeMaddemi">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Default">
    <w:name w:val="Default"/>
    <w:rsid w:val="009941CD"/>
    <w:pPr>
      <w:autoSpaceDE w:val="0"/>
      <w:autoSpaceDN w:val="0"/>
      <w:adjustRightInd w:val="0"/>
    </w:pPr>
    <w:rPr>
      <w:rFonts w:ascii="Arial" w:hAnsi="Arial" w:cs="Arial"/>
      <w:color w:val="000000"/>
      <w:sz w:val="24"/>
      <w:szCs w:val="24"/>
      <w:lang w:val="en-GB" w:eastAsia="en-GB"/>
    </w:rPr>
  </w:style>
  <w:style w:type="character" w:customStyle="1" w:styleId="sb8d990e2">
    <w:name w:val="sb8d990e2"/>
    <w:rsid w:val="00F539C8"/>
  </w:style>
  <w:style w:type="character" w:customStyle="1" w:styleId="s6b621b36">
    <w:name w:val="s6b621b36"/>
    <w:rsid w:val="00992679"/>
  </w:style>
  <w:style w:type="character" w:customStyle="1" w:styleId="sf1c7242d">
    <w:name w:val="sf1c7242d"/>
    <w:rsid w:val="00352FB4"/>
  </w:style>
  <w:style w:type="paragraph" w:customStyle="1" w:styleId="H2">
    <w:name w:val="H2"/>
    <w:basedOn w:val="Normal"/>
    <w:next w:val="Normal"/>
    <w:rsid w:val="001B5216"/>
    <w:pPr>
      <w:keepNext/>
      <w:suppressAutoHyphens w:val="0"/>
      <w:autoSpaceDE w:val="0"/>
      <w:autoSpaceDN w:val="0"/>
      <w:adjustRightInd w:val="0"/>
      <w:spacing w:before="100" w:after="100"/>
      <w:outlineLvl w:val="2"/>
    </w:pPr>
    <w:rPr>
      <w:b/>
      <w:bCs/>
      <w:sz w:val="36"/>
      <w:szCs w:val="36"/>
      <w:lang w:val="fr-FR" w:eastAsia="en-US"/>
    </w:rPr>
  </w:style>
  <w:style w:type="character" w:customStyle="1" w:styleId="stbilgiChar">
    <w:name w:val="Üstbilgi Char"/>
    <w:link w:val="stbilgi"/>
    <w:uiPriority w:val="48"/>
    <w:rsid w:val="0070652B"/>
    <w:rPr>
      <w:sz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48"/>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35"/>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aliases w:val="ECHR_Decision_Body"/>
    <w:basedOn w:val="NormalTimesNewRoman"/>
    <w:link w:val="JuJudgesChar"/>
    <w:uiPriority w:val="11"/>
    <w:qFormat/>
    <w:rsid w:val="00D1288A"/>
    <w:pPr>
      <w:tabs>
        <w:tab w:val="left" w:pos="567"/>
        <w:tab w:val="left" w:pos="1134"/>
      </w:tabs>
    </w:pPr>
  </w:style>
  <w:style w:type="character" w:customStyle="1" w:styleId="JuJudgesChar">
    <w:name w:val="Ju_Judges Char"/>
    <w:link w:val="JuJudges"/>
    <w:uiPriority w:val="11"/>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link w:val="HeaderChar"/>
    <w:uiPriority w:val="48"/>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Default">
    <w:name w:val="Default"/>
    <w:rsid w:val="009941CD"/>
    <w:pPr>
      <w:autoSpaceDE w:val="0"/>
      <w:autoSpaceDN w:val="0"/>
      <w:adjustRightInd w:val="0"/>
    </w:pPr>
    <w:rPr>
      <w:rFonts w:ascii="Arial" w:hAnsi="Arial" w:cs="Arial"/>
      <w:color w:val="000000"/>
      <w:sz w:val="24"/>
      <w:szCs w:val="24"/>
      <w:lang w:val="en-GB" w:eastAsia="en-GB"/>
    </w:rPr>
  </w:style>
  <w:style w:type="character" w:customStyle="1" w:styleId="sb8d990e2">
    <w:name w:val="sb8d990e2"/>
    <w:rsid w:val="00F539C8"/>
  </w:style>
  <w:style w:type="character" w:customStyle="1" w:styleId="s6b621b36">
    <w:name w:val="s6b621b36"/>
    <w:rsid w:val="00992679"/>
  </w:style>
  <w:style w:type="character" w:customStyle="1" w:styleId="sf1c7242d">
    <w:name w:val="sf1c7242d"/>
    <w:rsid w:val="00352FB4"/>
  </w:style>
  <w:style w:type="paragraph" w:customStyle="1" w:styleId="H2">
    <w:name w:val="H2"/>
    <w:basedOn w:val="Normal"/>
    <w:next w:val="Normal"/>
    <w:rsid w:val="001B5216"/>
    <w:pPr>
      <w:keepNext/>
      <w:suppressAutoHyphens w:val="0"/>
      <w:autoSpaceDE w:val="0"/>
      <w:autoSpaceDN w:val="0"/>
      <w:adjustRightInd w:val="0"/>
      <w:spacing w:before="100" w:after="100"/>
      <w:outlineLvl w:val="2"/>
    </w:pPr>
    <w:rPr>
      <w:b/>
      <w:bCs/>
      <w:sz w:val="36"/>
      <w:szCs w:val="36"/>
      <w:lang w:val="fr-FR" w:eastAsia="en-US"/>
    </w:rPr>
  </w:style>
  <w:style w:type="character" w:customStyle="1" w:styleId="HeaderChar">
    <w:name w:val="Header Char"/>
    <w:link w:val="Header"/>
    <w:uiPriority w:val="48"/>
    <w:rsid w:val="0070652B"/>
    <w:rPr>
      <w:sz w:val="18"/>
      <w:lang w:eastAsia="fr-FR"/>
    </w:rPr>
  </w:style>
</w:styles>
</file>

<file path=word/webSettings.xml><?xml version="1.0" encoding="utf-8"?>
<w:webSettings xmlns:r="http://schemas.openxmlformats.org/officeDocument/2006/relationships" xmlns:w="http://schemas.openxmlformats.org/wordprocessingml/2006/main">
  <w:divs>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1541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1C3AB-BEE2-4E60-BB80-16BC4D933E30}">
  <ds:schemaRefs>
    <ds:schemaRef ds:uri="http://schemas.openxmlformats.org/officeDocument/2006/bibliography"/>
  </ds:schemaRefs>
</ds:datastoreItem>
</file>

<file path=customXml/itemProps2.xml><?xml version="1.0" encoding="utf-8"?>
<ds:datastoreItem xmlns:ds="http://schemas.openxmlformats.org/officeDocument/2006/customXml" ds:itemID="{81CE76B6-BDB9-42F8-9171-B427B0A6AD1E}">
  <ds:schemaRefs>
    <ds:schemaRef ds:uri="http://schemas.microsoft.com/sharepoint/v3/contenttype/forms"/>
  </ds:schemaRefs>
</ds:datastoreItem>
</file>

<file path=customXml/itemProps3.xml><?xml version="1.0" encoding="utf-8"?>
<ds:datastoreItem xmlns:ds="http://schemas.openxmlformats.org/officeDocument/2006/customXml" ds:itemID="{63B4D654-A6A8-44CB-B59D-6998C9EA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2008-01-17T09:46:00Z</cp:lastPrinted>
  <dcterms:created xsi:type="dcterms:W3CDTF">2013-09-17T08:36:00Z</dcterms:created>
  <dcterms:modified xsi:type="dcterms:W3CDTF">2013-09-17T08:36:00Z</dcterms:modified>
  <cp:category>ECHR Template</cp:category>
</cp:coreProperties>
</file>